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D1" w:rsidRPr="005E267D" w:rsidRDefault="008D5BD1" w:rsidP="008D5BD1">
      <w:pPr>
        <w:tabs>
          <w:tab w:val="left" w:pos="5880"/>
        </w:tabs>
        <w:jc w:val="right"/>
        <w:rPr>
          <w:rFonts w:eastAsia="Times New Roman"/>
          <w:sz w:val="18"/>
          <w:szCs w:val="18"/>
        </w:rPr>
      </w:pPr>
      <w:r w:rsidRPr="005E267D">
        <w:rPr>
          <w:rFonts w:eastAsia="Times New Roman"/>
          <w:sz w:val="18"/>
          <w:szCs w:val="18"/>
        </w:rPr>
        <w:t>1.pielikums</w:t>
      </w:r>
    </w:p>
    <w:p w:rsidR="008D5BD1" w:rsidRPr="005E267D" w:rsidRDefault="008D5BD1" w:rsidP="008D5BD1">
      <w:pPr>
        <w:jc w:val="right"/>
        <w:rPr>
          <w:rFonts w:eastAsia="Times New Roman"/>
          <w:sz w:val="18"/>
          <w:szCs w:val="18"/>
        </w:rPr>
      </w:pPr>
      <w:r w:rsidRPr="005E267D">
        <w:rPr>
          <w:rFonts w:eastAsia="Times New Roman"/>
          <w:sz w:val="18"/>
          <w:szCs w:val="18"/>
        </w:rPr>
        <w:t xml:space="preserve">Atklāta konkursa </w:t>
      </w:r>
    </w:p>
    <w:p w:rsidR="008D5BD1" w:rsidRPr="005E267D" w:rsidRDefault="008D5BD1" w:rsidP="008D5BD1">
      <w:pPr>
        <w:jc w:val="right"/>
        <w:rPr>
          <w:rFonts w:eastAsia="Times New Roman"/>
          <w:sz w:val="18"/>
          <w:szCs w:val="18"/>
        </w:rPr>
      </w:pPr>
      <w:r w:rsidRPr="005E267D">
        <w:rPr>
          <w:rFonts w:eastAsia="Times New Roman"/>
          <w:sz w:val="18"/>
          <w:szCs w:val="18"/>
        </w:rPr>
        <w:t>„</w:t>
      </w:r>
      <w:r w:rsidRPr="005E267D">
        <w:rPr>
          <w:sz w:val="18"/>
          <w:szCs w:val="18"/>
        </w:rPr>
        <w:t>Liepājas ielas un Blaumaņa ielas posmu rekonstrukcija Ludzā, Ludzas novadā</w:t>
      </w:r>
      <w:r w:rsidRPr="005E267D">
        <w:rPr>
          <w:rFonts w:eastAsia="Times New Roman"/>
          <w:sz w:val="18"/>
          <w:szCs w:val="18"/>
        </w:rPr>
        <w:t xml:space="preserve">” </w:t>
      </w:r>
    </w:p>
    <w:p w:rsidR="008D5BD1" w:rsidRPr="005E267D" w:rsidRDefault="008D5BD1" w:rsidP="008D5BD1">
      <w:pPr>
        <w:jc w:val="right"/>
        <w:rPr>
          <w:rFonts w:eastAsia="Times New Roman"/>
          <w:sz w:val="18"/>
          <w:szCs w:val="18"/>
        </w:rPr>
      </w:pPr>
      <w:r w:rsidRPr="005E267D">
        <w:rPr>
          <w:rFonts w:eastAsia="Times New Roman"/>
          <w:sz w:val="18"/>
          <w:szCs w:val="18"/>
        </w:rPr>
        <w:t xml:space="preserve">identifikācijas </w:t>
      </w:r>
      <w:r>
        <w:rPr>
          <w:rFonts w:eastAsia="Times New Roman"/>
          <w:sz w:val="18"/>
          <w:szCs w:val="18"/>
        </w:rPr>
        <w:t>Nr. LNP 2015/17/ERAF</w:t>
      </w:r>
    </w:p>
    <w:p w:rsidR="008D5BD1" w:rsidRPr="005E267D" w:rsidRDefault="008D5BD1" w:rsidP="008D5BD1">
      <w:pPr>
        <w:jc w:val="right"/>
        <w:rPr>
          <w:rFonts w:eastAsia="Times New Roman"/>
          <w:b/>
          <w:bCs/>
          <w:sz w:val="18"/>
          <w:szCs w:val="18"/>
        </w:rPr>
      </w:pPr>
      <w:r w:rsidRPr="005E267D">
        <w:rPr>
          <w:rFonts w:eastAsia="Times New Roman"/>
          <w:sz w:val="18"/>
          <w:szCs w:val="18"/>
        </w:rPr>
        <w:t xml:space="preserve"> nolikumam</w:t>
      </w:r>
    </w:p>
    <w:p w:rsidR="008D5BD1" w:rsidRPr="005E267D" w:rsidRDefault="008D5BD1" w:rsidP="008D5BD1">
      <w:pPr>
        <w:jc w:val="right"/>
        <w:rPr>
          <w:rFonts w:eastAsia="Times New Roman"/>
          <w:b/>
          <w:bCs/>
          <w:szCs w:val="24"/>
        </w:rPr>
      </w:pPr>
    </w:p>
    <w:p w:rsidR="008D5BD1" w:rsidRPr="005E267D" w:rsidRDefault="008D5BD1" w:rsidP="008D5BD1">
      <w:pPr>
        <w:jc w:val="center"/>
        <w:rPr>
          <w:rFonts w:eastAsia="Times New Roman"/>
          <w:b/>
          <w:bCs/>
          <w:szCs w:val="24"/>
        </w:rPr>
      </w:pPr>
      <w:r w:rsidRPr="005E267D">
        <w:rPr>
          <w:rFonts w:eastAsia="Times New Roman"/>
          <w:b/>
          <w:bCs/>
          <w:szCs w:val="24"/>
        </w:rPr>
        <w:t>PIETEIKUMS DALĪBAI ATKLĀTĀ KONKURSĀ</w:t>
      </w:r>
    </w:p>
    <w:p w:rsidR="008D5BD1" w:rsidRPr="005E267D" w:rsidRDefault="008D5BD1" w:rsidP="008D5BD1">
      <w:pPr>
        <w:jc w:val="center"/>
        <w:rPr>
          <w:rFonts w:eastAsia="Times New Roman"/>
          <w:b/>
          <w:bCs/>
          <w:szCs w:val="24"/>
        </w:rPr>
      </w:pPr>
    </w:p>
    <w:p w:rsidR="008D5BD1" w:rsidRPr="005E267D" w:rsidRDefault="008D5BD1" w:rsidP="008D5BD1">
      <w:pPr>
        <w:rPr>
          <w:rFonts w:eastAsia="Times New Roman"/>
        </w:rPr>
      </w:pPr>
      <w:r w:rsidRPr="005E267D">
        <w:rPr>
          <w:rFonts w:eastAsia="Times New Roman"/>
        </w:rPr>
        <w:t>2015. gada ____. ______________</w:t>
      </w:r>
    </w:p>
    <w:p w:rsidR="008D5BD1" w:rsidRPr="005E267D" w:rsidRDefault="008D5BD1" w:rsidP="008D5BD1">
      <w:pPr>
        <w:rPr>
          <w:rFonts w:eastAsia="Times New Roman"/>
        </w:rPr>
      </w:pPr>
      <w:bookmarkStart w:id="0" w:name="_GoBack"/>
      <w:bookmarkEnd w:id="0"/>
    </w:p>
    <w:p w:rsidR="008D5BD1" w:rsidRPr="005E267D" w:rsidRDefault="008D5BD1" w:rsidP="008D5BD1">
      <w:pPr>
        <w:rPr>
          <w:rFonts w:eastAsia="Times New Roman"/>
          <w:b/>
          <w:szCs w:val="24"/>
        </w:rPr>
      </w:pPr>
      <w:r w:rsidRPr="005E267D">
        <w:rPr>
          <w:rFonts w:eastAsia="Times New Roman"/>
          <w:b/>
          <w:szCs w:val="24"/>
        </w:rPr>
        <w:t>Atklāta konkursa nosaukums: „</w:t>
      </w:r>
      <w:r w:rsidRPr="005E267D">
        <w:rPr>
          <w:b/>
        </w:rPr>
        <w:t>Liepājas ielas un Blaumaņa ielas posmu rekonstrukcija Ludzā, Ludzas novadā</w:t>
      </w:r>
      <w:r w:rsidRPr="005E267D">
        <w:rPr>
          <w:rFonts w:eastAsia="Times New Roman"/>
          <w:b/>
          <w:szCs w:val="24"/>
        </w:rPr>
        <w:t xml:space="preserve">” identifikācijas </w:t>
      </w:r>
      <w:r>
        <w:rPr>
          <w:rFonts w:eastAsia="Times New Roman"/>
          <w:b/>
          <w:szCs w:val="24"/>
        </w:rPr>
        <w:t>Nr. LNP 2015/17/ERAF</w:t>
      </w:r>
    </w:p>
    <w:p w:rsidR="008D5BD1" w:rsidRPr="005E267D" w:rsidRDefault="008D5BD1" w:rsidP="008D5BD1">
      <w:pPr>
        <w:rPr>
          <w:rFonts w:eastAsia="Times New Roman"/>
          <w:b/>
          <w:szCs w:val="24"/>
        </w:rPr>
      </w:pPr>
    </w:p>
    <w:p w:rsidR="008D5BD1" w:rsidRPr="005E267D" w:rsidRDefault="008D5BD1" w:rsidP="008D5BD1">
      <w:pPr>
        <w:rPr>
          <w:rFonts w:eastAsia="Times New Roman"/>
          <w:b/>
          <w:szCs w:val="24"/>
        </w:rPr>
      </w:pPr>
      <w:r w:rsidRPr="005E267D">
        <w:rPr>
          <w:rFonts w:eastAsia="Times New Roman"/>
          <w:szCs w:val="24"/>
        </w:rPr>
        <w:t xml:space="preserve">1. Mēs, apakšā parakstījušies, esam iepazinušies ar atklāta konkursa Nolikumu un piekrītam visiem nolikuma noteikumiem. Saskaņā ar atklāta konkursa Nolikuma prasībām piedāvājam veikt rekonstrukcijas darbus </w:t>
      </w:r>
      <w:r w:rsidRPr="005E267D">
        <w:rPr>
          <w:rFonts w:eastAsia="Times New Roman"/>
          <w:b/>
          <w:szCs w:val="24"/>
        </w:rPr>
        <w:t>par summu:</w:t>
      </w:r>
    </w:p>
    <w:p w:rsidR="008D5BD1" w:rsidRPr="005E267D" w:rsidRDefault="008D5BD1" w:rsidP="008D5BD1">
      <w:pPr>
        <w:rPr>
          <w:rFonts w:eastAsia="Times New Roman"/>
          <w:b/>
          <w:szCs w:val="24"/>
        </w:rPr>
      </w:pPr>
    </w:p>
    <w:p w:rsidR="008D5BD1" w:rsidRPr="00270C3F" w:rsidRDefault="008D5BD1" w:rsidP="008D5BD1">
      <w:pPr>
        <w:pStyle w:val="StyleStyle2Justified"/>
        <w:numPr>
          <w:ilvl w:val="0"/>
          <w:numId w:val="0"/>
        </w:numPr>
        <w:spacing w:before="0" w:after="0"/>
        <w:rPr>
          <w:b w:val="0"/>
          <w:i/>
        </w:rPr>
      </w:pPr>
      <w:bookmarkStart w:id="1" w:name="_Toc346009312"/>
      <w:r w:rsidRPr="00270C3F">
        <w:rPr>
          <w:b w:val="0"/>
          <w:i/>
        </w:rPr>
        <w:t>Norādīt katru iepirkuma priekšmeta daļu atsevišķi</w:t>
      </w:r>
      <w:bookmarkEnd w:id="1"/>
    </w:p>
    <w:p w:rsidR="008D5BD1" w:rsidRPr="005E267D" w:rsidRDefault="008D5BD1" w:rsidP="008D5BD1">
      <w:pPr>
        <w:pStyle w:val="StyleStyle2Justified"/>
        <w:numPr>
          <w:ilvl w:val="0"/>
          <w:numId w:val="0"/>
        </w:numPr>
        <w:spacing w:before="0" w:after="0"/>
        <w:rPr>
          <w:i/>
        </w:rPr>
      </w:pPr>
    </w:p>
    <w:p w:rsidR="008D5BD1" w:rsidRPr="005E267D" w:rsidRDefault="008D5BD1" w:rsidP="008D5BD1">
      <w:pPr>
        <w:pStyle w:val="StyleStyle2Justified"/>
        <w:numPr>
          <w:ilvl w:val="0"/>
          <w:numId w:val="0"/>
        </w:numPr>
        <w:spacing w:before="0" w:after="0"/>
        <w:rPr>
          <w:i/>
        </w:rPr>
      </w:pPr>
      <w:r w:rsidRPr="005E267D">
        <w:rPr>
          <w:i/>
        </w:rPr>
        <w:t>1. daļā Liepājas ielas rekonstrukcija posmā no Raiņa ielas līdz Jelgavas ielai</w:t>
      </w:r>
    </w:p>
    <w:p w:rsidR="008D5BD1" w:rsidRPr="005E267D" w:rsidRDefault="008D5BD1" w:rsidP="008D5BD1">
      <w:pPr>
        <w:pStyle w:val="StyleStyle2Justified"/>
        <w:numPr>
          <w:ilvl w:val="0"/>
          <w:numId w:val="0"/>
        </w:numPr>
        <w:spacing w:before="0" w:after="0"/>
        <w:rPr>
          <w:i/>
        </w:rPr>
      </w:pPr>
    </w:p>
    <w:p w:rsidR="008D5BD1" w:rsidRPr="005E267D" w:rsidRDefault="008D5BD1" w:rsidP="008D5BD1">
      <w:pPr>
        <w:pBdr>
          <w:bottom w:val="single" w:sz="12" w:space="1" w:color="auto"/>
        </w:pBdr>
        <w:jc w:val="center"/>
        <w:rPr>
          <w:i/>
        </w:rPr>
      </w:pPr>
    </w:p>
    <w:p w:rsidR="008D5BD1" w:rsidRPr="005E267D" w:rsidRDefault="008D5BD1" w:rsidP="008D5BD1">
      <w:pPr>
        <w:jc w:val="center"/>
        <w:rPr>
          <w:i/>
        </w:rPr>
      </w:pPr>
      <w:r w:rsidRPr="005E267D">
        <w:rPr>
          <w:i/>
        </w:rPr>
        <w:t>piedāvājuma cena 1. daļai bez PVN (EUR) vārdos un skaitļos</w:t>
      </w:r>
    </w:p>
    <w:p w:rsidR="008D5BD1" w:rsidRPr="005E267D" w:rsidRDefault="008D5BD1" w:rsidP="008D5BD1"/>
    <w:p w:rsidR="008D5BD1" w:rsidRPr="005E267D" w:rsidRDefault="008D5BD1" w:rsidP="008D5BD1">
      <w:pPr>
        <w:rPr>
          <w:rFonts w:eastAsia="Times New Roman"/>
          <w:b/>
          <w:i/>
          <w:szCs w:val="20"/>
        </w:rPr>
      </w:pPr>
      <w:r w:rsidRPr="005E267D">
        <w:rPr>
          <w:rFonts w:eastAsia="Times New Roman"/>
          <w:b/>
          <w:i/>
          <w:szCs w:val="20"/>
        </w:rPr>
        <w:t>2. daļā Blaumaņa ielas rekonstrukcija posmā no Biržas ielas līdz Jelgavas ielai</w:t>
      </w:r>
    </w:p>
    <w:p w:rsidR="008D5BD1" w:rsidRPr="005E267D" w:rsidRDefault="008D5BD1" w:rsidP="008D5BD1">
      <w:pPr>
        <w:rPr>
          <w:rFonts w:eastAsia="Times New Roman"/>
          <w:b/>
          <w:i/>
          <w:szCs w:val="20"/>
        </w:rPr>
      </w:pPr>
    </w:p>
    <w:p w:rsidR="008D5BD1" w:rsidRPr="005E267D" w:rsidRDefault="008D5BD1" w:rsidP="008D5BD1">
      <w:pPr>
        <w:pBdr>
          <w:bottom w:val="single" w:sz="12" w:space="1" w:color="auto"/>
        </w:pBdr>
        <w:jc w:val="center"/>
        <w:rPr>
          <w:i/>
        </w:rPr>
      </w:pPr>
    </w:p>
    <w:p w:rsidR="008D5BD1" w:rsidRPr="005E267D" w:rsidRDefault="008D5BD1" w:rsidP="008D5BD1">
      <w:pPr>
        <w:jc w:val="center"/>
        <w:rPr>
          <w:i/>
        </w:rPr>
      </w:pPr>
      <w:r w:rsidRPr="005E267D">
        <w:rPr>
          <w:i/>
        </w:rPr>
        <w:t>piedāvājuma cena 2. daļai bez PVN (EUR) vārdos un skaitļos</w:t>
      </w:r>
    </w:p>
    <w:p w:rsidR="008D5BD1" w:rsidRPr="005E267D" w:rsidRDefault="008D5BD1" w:rsidP="008D5BD1">
      <w:pPr>
        <w:rPr>
          <w:rFonts w:eastAsia="Times New Roman"/>
          <w:szCs w:val="20"/>
        </w:rPr>
      </w:pPr>
    </w:p>
    <w:p w:rsidR="008D5BD1" w:rsidRPr="005E267D" w:rsidRDefault="008D5BD1" w:rsidP="008D5BD1">
      <w:pPr>
        <w:rPr>
          <w:rFonts w:eastAsia="Times New Roman"/>
          <w:szCs w:val="20"/>
        </w:rPr>
      </w:pPr>
      <w:r w:rsidRPr="005E267D">
        <w:rPr>
          <w:rFonts w:eastAsia="Times New Roman"/>
          <w:szCs w:val="20"/>
        </w:rPr>
        <w:t xml:space="preserve">2. Mēs apliecinām, ka gadījumā, ja mūsu piedāvājumu akceptēs, mēs veiksim darbus līdz  Nolikumā un Līgumā noteiktam termiņam. </w:t>
      </w:r>
    </w:p>
    <w:p w:rsidR="008D5BD1" w:rsidRPr="005E267D" w:rsidRDefault="008D5BD1" w:rsidP="008D5BD1">
      <w:pPr>
        <w:rPr>
          <w:rFonts w:eastAsia="Times New Roman"/>
          <w:szCs w:val="20"/>
        </w:rPr>
      </w:pPr>
      <w:r w:rsidRPr="005E267D">
        <w:rPr>
          <w:rFonts w:eastAsia="Times New Roman"/>
          <w:szCs w:val="20"/>
        </w:rPr>
        <w:t xml:space="preserve">3. Ar šo mēs apstiprinām, ka mūsu piedāvājums ir derīgs </w:t>
      </w:r>
      <w:r w:rsidRPr="00D95B86">
        <w:rPr>
          <w:rFonts w:eastAsia="Times New Roman"/>
          <w:b/>
          <w:bCs/>
          <w:szCs w:val="20"/>
        </w:rPr>
        <w:t>120 (viens simts divdesmit) kalendārās dienas</w:t>
      </w:r>
      <w:r w:rsidRPr="005E267D">
        <w:rPr>
          <w:rFonts w:eastAsia="Times New Roman"/>
          <w:szCs w:val="20"/>
        </w:rPr>
        <w:t xml:space="preserve"> no piedāvājuma atvēršanas dienas, un var tikt akceptēts jebkurā laikā pirms tā spēkā esamības termiņa izbeigšanās.</w:t>
      </w:r>
    </w:p>
    <w:p w:rsidR="008D5BD1" w:rsidRPr="005E267D" w:rsidRDefault="008D5BD1" w:rsidP="008D5BD1">
      <w:pPr>
        <w:tabs>
          <w:tab w:val="left" w:pos="280"/>
        </w:tabs>
        <w:rPr>
          <w:rFonts w:eastAsia="Times New Roman"/>
          <w:szCs w:val="24"/>
        </w:rPr>
      </w:pPr>
      <w:r w:rsidRPr="005E267D">
        <w:rPr>
          <w:rFonts w:eastAsia="Times New Roman"/>
          <w:szCs w:val="24"/>
        </w:rPr>
        <w:t>4. Ar šo mēs apliecinām, ka attiecībā uz mums nav iestājies neviens no turpmāk minētajiem gadījumiem:</w:t>
      </w:r>
    </w:p>
    <w:p w:rsidR="008D5BD1" w:rsidRPr="005E267D" w:rsidRDefault="008D5BD1" w:rsidP="008D5BD1">
      <w:pPr>
        <w:ind w:left="567"/>
        <w:rPr>
          <w:rFonts w:eastAsia="Times New Roman"/>
          <w:bCs/>
          <w:iCs/>
          <w:szCs w:val="24"/>
          <w:lang w:eastAsia="x-none"/>
        </w:rPr>
      </w:pPr>
      <w:r w:rsidRPr="005E267D">
        <w:rPr>
          <w:rFonts w:eastAsia="Times New Roman"/>
          <w:bCs/>
          <w:iCs/>
          <w:szCs w:val="24"/>
          <w:lang w:eastAsia="x-none"/>
        </w:rPr>
        <w:t xml:space="preserve">1) Pretendents vai persona, kurai ir Pretendenta pārstāvības tiesības vai lēmuma pieņemšanas vai uzraudzības tiesības attiecībā uz šo Pretendentu, ar tādu tiesas spriedumu vai prokurora priekšrakstu par sodu, kurš stājies spēkā un kļuvis neapstrīdams un nepārsūdzams, ir atzīta par vainīgu noziedzīgā nodarījumā par izvairīšanos no nodokļu un tiem pielīdzināto maksājumu nomaksas, </w:t>
      </w:r>
      <w:proofErr w:type="spellStart"/>
      <w:r w:rsidRPr="005E267D">
        <w:rPr>
          <w:rFonts w:eastAsia="Times New Roman"/>
          <w:bCs/>
          <w:iCs/>
          <w:szCs w:val="24"/>
          <w:lang w:eastAsia="x-none"/>
        </w:rPr>
        <w:t>koruptīva</w:t>
      </w:r>
      <w:proofErr w:type="spellEnd"/>
      <w:r w:rsidRPr="005E267D">
        <w:rPr>
          <w:rFonts w:eastAsia="Times New Roman"/>
          <w:bCs/>
          <w:iCs/>
          <w:szCs w:val="24"/>
          <w:lang w:eastAsia="x-none"/>
        </w:rPr>
        <w:t xml:space="preserve"> rakstura noziedzīgos nodarījumos, krāpnieciskās darbībās finanšu jomā, noziedzīgi iegūtu līdzekļu legalizācijā vai līdzdalībā noziedzīgā organizācijā;</w:t>
      </w:r>
    </w:p>
    <w:p w:rsidR="008D5BD1" w:rsidRPr="005E267D" w:rsidRDefault="008D5BD1" w:rsidP="008D5BD1">
      <w:pPr>
        <w:ind w:left="567"/>
        <w:rPr>
          <w:rFonts w:eastAsia="Times New Roman"/>
          <w:bCs/>
          <w:iCs/>
          <w:szCs w:val="24"/>
          <w:lang w:eastAsia="x-none"/>
        </w:rPr>
      </w:pPr>
      <w:r w:rsidRPr="005E267D">
        <w:rPr>
          <w:rFonts w:eastAsia="Times New Roman"/>
          <w:bCs/>
          <w:iCs/>
          <w:szCs w:val="24"/>
          <w:lang w:eastAsia="x-none"/>
        </w:rPr>
        <w:t>2) Pretendents ar tādu kompetentas institūcijas lēmumu vai tiesas spriedumu, kurš stājies spēkā un kļuvis neapstrīdams un nepārsūdzams, ir atzīts par vainīgu darba tiesību būtiskā pārkāpumā, kas izpaužas kā:</w:t>
      </w:r>
    </w:p>
    <w:p w:rsidR="008D5BD1" w:rsidRPr="005E267D" w:rsidRDefault="008D5BD1" w:rsidP="008D5BD1">
      <w:pPr>
        <w:ind w:left="993"/>
        <w:rPr>
          <w:rFonts w:eastAsia="Times New Roman"/>
          <w:bCs/>
          <w:iCs/>
          <w:szCs w:val="24"/>
          <w:lang w:eastAsia="x-none"/>
        </w:rPr>
      </w:pPr>
      <w:r w:rsidRPr="005E267D">
        <w:rPr>
          <w:rFonts w:eastAsia="Times New Roman"/>
          <w:bCs/>
          <w:iCs/>
          <w:szCs w:val="24"/>
          <w:lang w:eastAsia="x-none"/>
        </w:rPr>
        <w:t>a) viena vai vairāku tādu valstu pilsoņu vai pavalstnieku nodarbināšana, kuri nav Eiropas Savienības dalībvalstu pilsoņi vai pavalstnieki, ja tie Eiropas Savienības dalībvalstu teritorijā uzturas nelikumīgi,</w:t>
      </w:r>
    </w:p>
    <w:p w:rsidR="008D5BD1" w:rsidRPr="005E267D" w:rsidRDefault="008D5BD1" w:rsidP="008D5BD1">
      <w:pPr>
        <w:ind w:left="993"/>
        <w:rPr>
          <w:rFonts w:eastAsia="Times New Roman"/>
          <w:bCs/>
          <w:iCs/>
          <w:szCs w:val="24"/>
          <w:lang w:eastAsia="x-none"/>
        </w:rPr>
      </w:pPr>
      <w:r w:rsidRPr="005E267D">
        <w:rPr>
          <w:rFonts w:eastAsia="Times New Roman"/>
          <w:bCs/>
          <w:iCs/>
          <w:szCs w:val="24"/>
          <w:lang w:eastAsia="x-none"/>
        </w:rPr>
        <w:t>b) vienas personas nodarbināšana bez rakstveida darba līguma noslēgšanas, ja tā konstatēta atkārtoti gada laikā, vai divu vai vairāku personu vienlaicīga nodarbināšana bez rakstveida darba līguma noslēgšanas;</w:t>
      </w:r>
    </w:p>
    <w:p w:rsidR="008D5BD1" w:rsidRPr="005E267D" w:rsidRDefault="008D5BD1" w:rsidP="008D5BD1">
      <w:pPr>
        <w:ind w:left="567"/>
        <w:rPr>
          <w:rFonts w:eastAsia="Times New Roman"/>
          <w:bCs/>
          <w:iCs/>
          <w:szCs w:val="24"/>
          <w:lang w:eastAsia="x-none"/>
        </w:rPr>
      </w:pPr>
      <w:r w:rsidRPr="005E267D">
        <w:rPr>
          <w:rFonts w:eastAsia="Times New Roman"/>
          <w:bCs/>
          <w:iCs/>
          <w:szCs w:val="24"/>
          <w:lang w:eastAsia="x-none"/>
        </w:rPr>
        <w:lastRenderedPageBreak/>
        <w:t>3) 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8D5BD1" w:rsidRPr="005E267D" w:rsidRDefault="008D5BD1" w:rsidP="008D5BD1">
      <w:pPr>
        <w:ind w:left="567"/>
        <w:rPr>
          <w:rFonts w:eastAsia="Times New Roman"/>
          <w:bCs/>
          <w:iCs/>
          <w:szCs w:val="24"/>
          <w:lang w:eastAsia="x-none"/>
        </w:rPr>
      </w:pPr>
      <w:r w:rsidRPr="005E267D">
        <w:rPr>
          <w:rFonts w:eastAsia="Times New Roman"/>
          <w:bCs/>
          <w:iCs/>
          <w:szCs w:val="24"/>
          <w:lang w:eastAsia="x-none"/>
        </w:rPr>
        <w:t>4) ir pasludināts Pretendenta maksātnespējas process, apturēta vai pārtraukta Pretendenta saimnieciskā darbība, uzsākta tiesvedība par pretendenta bankrotu vai tiek konstatēts, ka līdz līguma izpildes paredzamajam beigu termiņam Pretendents būs likvidēts;</w:t>
      </w:r>
    </w:p>
    <w:p w:rsidR="008D5BD1" w:rsidRPr="005E267D" w:rsidRDefault="008D5BD1" w:rsidP="008D5BD1">
      <w:pPr>
        <w:ind w:left="567"/>
        <w:rPr>
          <w:rFonts w:eastAsia="Times New Roman"/>
          <w:bCs/>
          <w:iCs/>
          <w:szCs w:val="24"/>
          <w:lang w:eastAsia="x-none"/>
        </w:rPr>
      </w:pPr>
      <w:r w:rsidRPr="005E267D">
        <w:rPr>
          <w:rFonts w:eastAsia="Times New Roman"/>
          <w:bCs/>
          <w:iCs/>
          <w:szCs w:val="24"/>
          <w:lang w:eastAsia="x-none"/>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w:t>
      </w:r>
      <w:r w:rsidRPr="00D45EC0">
        <w:rPr>
          <w:rFonts w:eastAsia="Times New Roman"/>
          <w:bCs/>
          <w:iCs/>
          <w:szCs w:val="24"/>
          <w:lang w:eastAsia="x-none"/>
        </w:rPr>
        <w:t xml:space="preserve">pārsniedz </w:t>
      </w:r>
      <w:r w:rsidRPr="00D45EC0">
        <w:t>150 euro;</w:t>
      </w:r>
    </w:p>
    <w:p w:rsidR="008D5BD1" w:rsidRPr="005E267D" w:rsidRDefault="008D5BD1" w:rsidP="008D5BD1">
      <w:pPr>
        <w:ind w:left="567"/>
        <w:rPr>
          <w:rFonts w:eastAsia="Times New Roman"/>
          <w:bCs/>
          <w:iCs/>
          <w:szCs w:val="24"/>
          <w:lang w:eastAsia="x-none"/>
        </w:rPr>
      </w:pPr>
      <w:r w:rsidRPr="005E267D">
        <w:rPr>
          <w:rFonts w:eastAsia="Times New Roman"/>
          <w:bCs/>
          <w:iCs/>
          <w:szCs w:val="24"/>
          <w:lang w:eastAsia="x-none"/>
        </w:rPr>
        <w:t>6) Pretendents ir sniedzis nepatiesu informāciju savas kvalifikācijas novērtēšanai vai vispār nav sniedzis pieprasīto informāciju.</w:t>
      </w:r>
    </w:p>
    <w:p w:rsidR="008D5BD1" w:rsidRPr="005E267D" w:rsidRDefault="008D5BD1" w:rsidP="008D5BD1">
      <w:pPr>
        <w:rPr>
          <w:rFonts w:eastAsia="Times New Roman"/>
          <w:bCs/>
          <w:iCs/>
          <w:szCs w:val="24"/>
          <w:lang w:eastAsia="x-none"/>
        </w:rPr>
      </w:pPr>
    </w:p>
    <w:p w:rsidR="008D5BD1" w:rsidRPr="005E267D" w:rsidRDefault="008D5BD1" w:rsidP="008D5BD1">
      <w:pPr>
        <w:rPr>
          <w:rFonts w:eastAsia="Times New Roman"/>
          <w:bCs/>
          <w:iCs/>
          <w:szCs w:val="24"/>
          <w:lang w:eastAsia="x-none"/>
        </w:rPr>
      </w:pPr>
    </w:p>
    <w:p w:rsidR="008D5BD1" w:rsidRPr="005E267D" w:rsidRDefault="008D5BD1" w:rsidP="008D5BD1">
      <w:pPr>
        <w:rPr>
          <w:rFonts w:eastAsia="Times New Roman"/>
          <w:bCs/>
          <w:iCs/>
          <w:szCs w:val="24"/>
          <w:lang w:eastAsia="x-none"/>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8D5BD1" w:rsidRPr="005E267D" w:rsidTr="00087FEE">
        <w:tc>
          <w:tcPr>
            <w:tcW w:w="3588" w:type="dxa"/>
            <w:hideMark/>
          </w:tcPr>
          <w:p w:rsidR="008D5BD1" w:rsidRPr="005E267D" w:rsidRDefault="008D5BD1" w:rsidP="00087FEE">
            <w:pPr>
              <w:rPr>
                <w:rFonts w:eastAsia="Times New Roman"/>
                <w:sz w:val="20"/>
              </w:rPr>
            </w:pPr>
            <w:r w:rsidRPr="005E267D">
              <w:rPr>
                <w:rFonts w:eastAsia="Times New Roman"/>
                <w:sz w:val="20"/>
              </w:rPr>
              <w:t>Pretendenta (piegādātāju apvienības dalībnieka, apakšuzņēmēja) pārstāvis:</w:t>
            </w:r>
          </w:p>
        </w:tc>
        <w:tc>
          <w:tcPr>
            <w:tcW w:w="5700" w:type="dxa"/>
            <w:tcBorders>
              <w:top w:val="nil"/>
              <w:left w:val="nil"/>
              <w:bottom w:val="single" w:sz="4" w:space="0" w:color="auto"/>
              <w:right w:val="nil"/>
            </w:tcBorders>
          </w:tcPr>
          <w:p w:rsidR="008D5BD1" w:rsidRPr="005E267D" w:rsidRDefault="008D5BD1" w:rsidP="00087FEE">
            <w:pPr>
              <w:rPr>
                <w:rFonts w:eastAsia="Times New Roman"/>
                <w:sz w:val="20"/>
              </w:rPr>
            </w:pPr>
          </w:p>
        </w:tc>
      </w:tr>
      <w:tr w:rsidR="008D5BD1" w:rsidRPr="005E267D" w:rsidTr="00087FEE">
        <w:trPr>
          <w:cantSplit/>
        </w:trPr>
        <w:tc>
          <w:tcPr>
            <w:tcW w:w="3588" w:type="dxa"/>
          </w:tcPr>
          <w:p w:rsidR="008D5BD1" w:rsidRPr="005E267D" w:rsidRDefault="008D5BD1" w:rsidP="00087FEE">
            <w:pPr>
              <w:rPr>
                <w:rFonts w:eastAsia="Times New Roman"/>
                <w:sz w:val="20"/>
              </w:rPr>
            </w:pPr>
          </w:p>
        </w:tc>
        <w:tc>
          <w:tcPr>
            <w:tcW w:w="5700" w:type="dxa"/>
            <w:hideMark/>
          </w:tcPr>
          <w:p w:rsidR="008D5BD1" w:rsidRPr="005E267D" w:rsidRDefault="008D5BD1" w:rsidP="00087FEE">
            <w:pPr>
              <w:jc w:val="center"/>
              <w:rPr>
                <w:rFonts w:eastAsia="Times New Roman"/>
                <w:sz w:val="20"/>
              </w:rPr>
            </w:pPr>
            <w:r w:rsidRPr="005E267D">
              <w:rPr>
                <w:rFonts w:eastAsia="Times New Roman"/>
                <w:sz w:val="20"/>
              </w:rPr>
              <w:t>(amats, paraksts, vārds, uzvārds, zīmogs)</w:t>
            </w:r>
          </w:p>
        </w:tc>
      </w:tr>
    </w:tbl>
    <w:p w:rsidR="008D5BD1" w:rsidRPr="005E267D" w:rsidRDefault="008D5BD1" w:rsidP="008D5BD1">
      <w:pPr>
        <w:tabs>
          <w:tab w:val="left" w:pos="5880"/>
        </w:tabs>
        <w:jc w:val="right"/>
        <w:rPr>
          <w:rFonts w:eastAsia="Times New Roman"/>
          <w:sz w:val="20"/>
          <w:szCs w:val="20"/>
        </w:rPr>
      </w:pPr>
    </w:p>
    <w:p w:rsidR="008D5BD1" w:rsidRPr="005E267D" w:rsidRDefault="008D5BD1" w:rsidP="008D5BD1">
      <w:pPr>
        <w:tabs>
          <w:tab w:val="left" w:pos="5880"/>
        </w:tabs>
        <w:jc w:val="right"/>
        <w:rPr>
          <w:rFonts w:eastAsia="Times New Roman"/>
          <w:sz w:val="20"/>
          <w:szCs w:val="20"/>
        </w:rPr>
      </w:pPr>
    </w:p>
    <w:p w:rsidR="008D5BD1" w:rsidRPr="005E267D" w:rsidRDefault="008D5BD1" w:rsidP="008D5BD1">
      <w:pPr>
        <w:tabs>
          <w:tab w:val="left" w:pos="5880"/>
        </w:tabs>
        <w:jc w:val="right"/>
        <w:rPr>
          <w:rFonts w:eastAsia="Times New Roman"/>
          <w:sz w:val="20"/>
          <w:szCs w:val="20"/>
        </w:rPr>
      </w:pPr>
    </w:p>
    <w:p w:rsidR="006B71CC" w:rsidRDefault="006B71CC"/>
    <w:sectPr w:rsidR="006B71CC" w:rsidSect="008D5BD1">
      <w:pgSz w:w="12240" w:h="15840"/>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1EC846"/>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5"/>
        </w:tabs>
        <w:ind w:left="1135" w:hanging="567"/>
      </w:pPr>
      <w:rPr>
        <w:b w:val="0"/>
      </w:rPr>
    </w:lvl>
    <w:lvl w:ilvl="2">
      <w:start w:val="1"/>
      <w:numFmt w:val="decimal"/>
      <w:lvlText w:val="%1.%2.%3."/>
      <w:lvlJc w:val="left"/>
      <w:pPr>
        <w:tabs>
          <w:tab w:val="num" w:pos="1561"/>
        </w:tabs>
        <w:ind w:left="1561"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1"/>
    <w:rsid w:val="006B71CC"/>
    <w:rsid w:val="008D5BD1"/>
    <w:rsid w:val="00BD4655"/>
    <w:rsid w:val="00C8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D1"/>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2Justified">
    <w:name w:val="Style Style2 + Justified"/>
    <w:basedOn w:val="Normal"/>
    <w:rsid w:val="008D5BD1"/>
    <w:pPr>
      <w:numPr>
        <w:numId w:val="1"/>
      </w:numPr>
      <w:spacing w:before="240" w:after="120"/>
    </w:pPr>
    <w:rPr>
      <w:rFonts w:eastAsia="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D1"/>
    <w:pPr>
      <w:jc w:val="both"/>
    </w:pPr>
    <w:rPr>
      <w:rFonts w:ascii="Times New Roman" w:eastAsia="Calibr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2Justified">
    <w:name w:val="Style Style2 + Justified"/>
    <w:basedOn w:val="Normal"/>
    <w:rsid w:val="008D5BD1"/>
    <w:pPr>
      <w:numPr>
        <w:numId w:val="1"/>
      </w:numPr>
      <w:spacing w:before="240" w:after="120"/>
    </w:pPr>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c400's Windows XP PC</dc:creator>
  <cp:keywords/>
  <dc:description/>
  <cp:lastModifiedBy>c400's Windows XP PC</cp:lastModifiedBy>
  <cp:revision>1</cp:revision>
  <dcterms:created xsi:type="dcterms:W3CDTF">2015-02-20T05:49:00Z</dcterms:created>
  <dcterms:modified xsi:type="dcterms:W3CDTF">2015-02-20T05:50:00Z</dcterms:modified>
</cp:coreProperties>
</file>