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1A" w:rsidRPr="00F32E50" w:rsidRDefault="0031201A" w:rsidP="0031201A">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31201A" w:rsidRPr="00F32E50" w:rsidRDefault="0031201A" w:rsidP="0031201A">
      <w:pPr>
        <w:rPr>
          <w:rFonts w:ascii="Cambria" w:eastAsia="Times New Roman" w:hAnsi="Cambria" w:cs="Times New Roman"/>
          <w:b/>
          <w:sz w:val="24"/>
          <w:szCs w:val="24"/>
          <w:lang w:val="lv-LV" w:eastAsia="en-GB"/>
        </w:rPr>
      </w:pPr>
    </w:p>
    <w:tbl>
      <w:tblPr>
        <w:tblStyle w:val="TableGrid"/>
        <w:tblW w:w="10075" w:type="dxa"/>
        <w:tblLook w:val="04A0" w:firstRow="1" w:lastRow="0" w:firstColumn="1" w:lastColumn="0" w:noHBand="0" w:noVBand="1"/>
      </w:tblPr>
      <w:tblGrid>
        <w:gridCol w:w="553"/>
        <w:gridCol w:w="3762"/>
        <w:gridCol w:w="5760"/>
      </w:tblGrid>
      <w:tr w:rsidR="0031201A" w:rsidRPr="00F32E50" w:rsidTr="006E2CC1">
        <w:tc>
          <w:tcPr>
            <w:tcW w:w="553"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3762"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5760" w:type="dxa"/>
            <w:shd w:val="clear" w:color="auto" w:fill="D9D9D9" w:themeFill="background1" w:themeFillShade="D9"/>
          </w:tcPr>
          <w:p w:rsidR="0031201A" w:rsidRPr="00F32E50" w:rsidRDefault="0031201A" w:rsidP="007E4A7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31201A" w:rsidRPr="00F32E50" w:rsidTr="007E4A76">
        <w:tc>
          <w:tcPr>
            <w:tcW w:w="10075" w:type="dxa"/>
            <w:gridSpan w:val="3"/>
          </w:tcPr>
          <w:p w:rsidR="0031201A" w:rsidRPr="00F32E50" w:rsidRDefault="006E2CC1" w:rsidP="006E2CC1">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08</w:t>
            </w:r>
            <w:r w:rsidR="0031201A"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11</w:t>
            </w:r>
            <w:bookmarkStart w:id="0" w:name="_GoBack"/>
            <w:bookmarkEnd w:id="0"/>
            <w:r w:rsidR="0031201A" w:rsidRPr="00F32E50">
              <w:rPr>
                <w:rFonts w:ascii="Cambria" w:eastAsia="Times New Roman" w:hAnsi="Cambria" w:cs="Times New Roman"/>
                <w:b/>
                <w:sz w:val="24"/>
                <w:szCs w:val="24"/>
                <w:lang w:val="lv-LV" w:eastAsia="en-GB"/>
              </w:rPr>
              <w:t>.201</w:t>
            </w:r>
            <w:r w:rsidR="0031201A">
              <w:rPr>
                <w:rFonts w:ascii="Cambria" w:eastAsia="Times New Roman" w:hAnsi="Cambria" w:cs="Times New Roman"/>
                <w:b/>
                <w:sz w:val="24"/>
                <w:szCs w:val="24"/>
                <w:lang w:val="lv-LV" w:eastAsia="en-GB"/>
              </w:rPr>
              <w:t>7</w:t>
            </w:r>
            <w:r w:rsidR="0031201A" w:rsidRPr="00F32E50">
              <w:rPr>
                <w:rFonts w:ascii="Cambria" w:eastAsia="Times New Roman" w:hAnsi="Cambria" w:cs="Times New Roman"/>
                <w:b/>
                <w:sz w:val="24"/>
                <w:szCs w:val="24"/>
                <w:lang w:val="lv-LV" w:eastAsia="en-GB"/>
              </w:rPr>
              <w:t>.</w:t>
            </w:r>
          </w:p>
        </w:tc>
      </w:tr>
      <w:tr w:rsidR="0031201A" w:rsidRPr="006E2CC1" w:rsidTr="006E2CC1">
        <w:tc>
          <w:tcPr>
            <w:tcW w:w="553" w:type="dxa"/>
          </w:tcPr>
          <w:p w:rsidR="0031201A" w:rsidRPr="00F32E50" w:rsidRDefault="006E2CC1" w:rsidP="00F255FD">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3762" w:type="dxa"/>
          </w:tcPr>
          <w:p w:rsidR="006E2CC1" w:rsidRDefault="006E2CC1" w:rsidP="006E2CC1">
            <w:pPr>
              <w:jc w:val="both"/>
              <w:rPr>
                <w:rFonts w:ascii="Times New Roman" w:hAnsi="Times New Roman"/>
                <w:sz w:val="24"/>
                <w:szCs w:val="24"/>
                <w:lang w:val="lv-LV"/>
              </w:rPr>
            </w:pPr>
            <w:r w:rsidRPr="009A3395">
              <w:rPr>
                <w:rFonts w:ascii="Times New Roman" w:hAnsi="Times New Roman"/>
                <w:sz w:val="24"/>
                <w:szCs w:val="24"/>
                <w:lang w:val="lv-LV"/>
              </w:rPr>
              <w:t>Iepirkuma priekšmeta 1. daļas pozīcijas "Mv3" tehniskajā specifikācijā minēti vairāki moduļi, kopskaitā 24gb. Arī kopējais pozīcijas daudzums ir norādīts 24gb. Vai kopā ir jāpiegādā 576gb dažādu moduļu?</w:t>
            </w:r>
          </w:p>
          <w:p w:rsidR="0031201A" w:rsidRPr="00B50E49" w:rsidRDefault="0031201A" w:rsidP="006E2CC1">
            <w:pPr>
              <w:jc w:val="both"/>
              <w:rPr>
                <w:rFonts w:ascii="Times New Roman" w:hAnsi="Times New Roman" w:cs="Times New Roman"/>
                <w:sz w:val="24"/>
                <w:szCs w:val="24"/>
                <w:lang w:val="lv-LV"/>
              </w:rPr>
            </w:pPr>
          </w:p>
        </w:tc>
        <w:tc>
          <w:tcPr>
            <w:tcW w:w="5760" w:type="dxa"/>
          </w:tcPr>
          <w:p w:rsidR="006E2CC1" w:rsidRPr="00B25311" w:rsidRDefault="006E2CC1" w:rsidP="006E2CC1">
            <w:pPr>
              <w:ind w:firstLine="720"/>
              <w:jc w:val="both"/>
              <w:rPr>
                <w:rFonts w:ascii="Times New Roman" w:hAnsi="Times New Roman"/>
                <w:sz w:val="24"/>
                <w:szCs w:val="24"/>
                <w:lang w:val="lv-LV"/>
              </w:rPr>
            </w:pPr>
            <w:r w:rsidRPr="00B25311">
              <w:rPr>
                <w:rFonts w:ascii="Times New Roman" w:hAnsi="Times New Roman"/>
                <w:sz w:val="24"/>
                <w:szCs w:val="24"/>
                <w:lang w:val="lv-LV"/>
              </w:rPr>
              <w:t xml:space="preserve">Iepirkuma priekšmeta 1. daļas “Mēbeles un iekārtas Ludzas pilsētas ģimnāzijai” Tehniskajā specifikācijā pozīcijā "MV3" ir norādīts nepieciešamo </w:t>
            </w:r>
            <w:proofErr w:type="spellStart"/>
            <w:r w:rsidRPr="00B25311">
              <w:rPr>
                <w:rFonts w:ascii="Times New Roman" w:hAnsi="Times New Roman"/>
                <w:sz w:val="24"/>
                <w:szCs w:val="24"/>
                <w:lang w:val="lv-LV"/>
              </w:rPr>
              <w:t>pufu</w:t>
            </w:r>
            <w:proofErr w:type="spellEnd"/>
            <w:r w:rsidRPr="00B25311">
              <w:rPr>
                <w:rFonts w:ascii="Times New Roman" w:hAnsi="Times New Roman"/>
                <w:sz w:val="24"/>
                <w:szCs w:val="24"/>
                <w:lang w:val="lv-LV"/>
              </w:rPr>
              <w:t xml:space="preserve"> kopskaits (pozīcijas daudzums) – 24 gab. Tehniskajā specifikācijā norādītie moduļi un to krāsas, kas kopskaitā ir 24, ir norādīti no kopējā pozīcijas daudzuma. Līdz ar to, saskaņā ar tehnisko specifikāciju,  kopā jāpiegādā 24 pozīcijas, no kurām:</w:t>
            </w:r>
          </w:p>
          <w:p w:rsidR="006E2CC1" w:rsidRPr="00B25311" w:rsidRDefault="006E2CC1" w:rsidP="006E2CC1">
            <w:pPr>
              <w:jc w:val="both"/>
              <w:rPr>
                <w:rFonts w:ascii="Times New Roman" w:hAnsi="Times New Roman"/>
                <w:sz w:val="24"/>
                <w:szCs w:val="24"/>
                <w:lang w:val="lv-LV"/>
              </w:rPr>
            </w:pPr>
            <w:r w:rsidRPr="00B25311">
              <w:rPr>
                <w:rFonts w:ascii="Times New Roman" w:hAnsi="Times New Roman"/>
                <w:sz w:val="24"/>
                <w:szCs w:val="24"/>
                <w:lang w:val="lv-LV"/>
              </w:rPr>
              <w:t xml:space="preserve">1.modulis- 2 gab.- sarkanā; 1 </w:t>
            </w:r>
            <w:proofErr w:type="spellStart"/>
            <w:r w:rsidRPr="00B25311">
              <w:rPr>
                <w:rFonts w:ascii="Times New Roman" w:hAnsi="Times New Roman"/>
                <w:sz w:val="24"/>
                <w:szCs w:val="24"/>
                <w:lang w:val="lv-LV"/>
              </w:rPr>
              <w:t>gab</w:t>
            </w:r>
            <w:proofErr w:type="spellEnd"/>
            <w:r w:rsidRPr="00B25311">
              <w:rPr>
                <w:rFonts w:ascii="Times New Roman" w:hAnsi="Times New Roman"/>
                <w:sz w:val="24"/>
                <w:szCs w:val="24"/>
                <w:lang w:val="lv-LV"/>
              </w:rPr>
              <w:t xml:space="preserve"> - gaiši pelēkā, 2 </w:t>
            </w:r>
            <w:proofErr w:type="spellStart"/>
            <w:r w:rsidRPr="00B25311">
              <w:rPr>
                <w:rFonts w:ascii="Times New Roman" w:hAnsi="Times New Roman"/>
                <w:sz w:val="24"/>
                <w:szCs w:val="24"/>
                <w:lang w:val="lv-LV"/>
              </w:rPr>
              <w:t>gab</w:t>
            </w:r>
            <w:proofErr w:type="spellEnd"/>
            <w:r w:rsidRPr="00B25311">
              <w:rPr>
                <w:rFonts w:ascii="Times New Roman" w:hAnsi="Times New Roman"/>
                <w:sz w:val="24"/>
                <w:szCs w:val="24"/>
                <w:lang w:val="lv-LV"/>
              </w:rPr>
              <w:t xml:space="preserve"> - tumši pelēkā; 2 gab.-</w:t>
            </w:r>
            <w:proofErr w:type="spellStart"/>
            <w:r w:rsidRPr="00B25311">
              <w:rPr>
                <w:rFonts w:ascii="Times New Roman" w:hAnsi="Times New Roman"/>
                <w:sz w:val="24"/>
                <w:szCs w:val="24"/>
                <w:lang w:val="lv-LV"/>
              </w:rPr>
              <w:t>bordo</w:t>
            </w:r>
            <w:proofErr w:type="spellEnd"/>
            <w:r w:rsidRPr="00B25311">
              <w:rPr>
                <w:rFonts w:ascii="Times New Roman" w:hAnsi="Times New Roman"/>
                <w:sz w:val="24"/>
                <w:szCs w:val="24"/>
                <w:lang w:val="lv-LV"/>
              </w:rPr>
              <w:t xml:space="preserve"> krāsā;</w:t>
            </w:r>
            <w:r w:rsidRPr="00B25311">
              <w:rPr>
                <w:rFonts w:ascii="Times New Roman" w:hAnsi="Times New Roman"/>
                <w:sz w:val="24"/>
                <w:szCs w:val="24"/>
                <w:lang w:val="lv-LV"/>
              </w:rPr>
              <w:br/>
              <w:t xml:space="preserve">2.modulis - 2 gab.- sarkanā;  1 gab. - gaiši pelēkā; 1 gab.- tumši pelēkā, 2 gab. - </w:t>
            </w:r>
            <w:proofErr w:type="spellStart"/>
            <w:r w:rsidRPr="00B25311">
              <w:rPr>
                <w:rFonts w:ascii="Times New Roman" w:hAnsi="Times New Roman"/>
                <w:sz w:val="24"/>
                <w:szCs w:val="24"/>
                <w:lang w:val="lv-LV"/>
              </w:rPr>
              <w:t>bordo</w:t>
            </w:r>
            <w:proofErr w:type="spellEnd"/>
            <w:r w:rsidRPr="00B25311">
              <w:rPr>
                <w:rFonts w:ascii="Times New Roman" w:hAnsi="Times New Roman"/>
                <w:sz w:val="24"/>
                <w:szCs w:val="24"/>
                <w:lang w:val="lv-LV"/>
              </w:rPr>
              <w:t xml:space="preserve"> krāsā;</w:t>
            </w:r>
            <w:r w:rsidRPr="00B25311">
              <w:rPr>
                <w:rFonts w:ascii="Times New Roman" w:hAnsi="Times New Roman"/>
                <w:sz w:val="24"/>
                <w:szCs w:val="24"/>
                <w:lang w:val="lv-LV"/>
              </w:rPr>
              <w:br/>
              <w:t xml:space="preserve">3.modulis - 2 gab.-sarkanā; 1 gab. - gaiši pelēkā; 2 gab. - tumši pelēkā; 2 gab. - </w:t>
            </w:r>
            <w:proofErr w:type="spellStart"/>
            <w:r w:rsidRPr="00B25311">
              <w:rPr>
                <w:rFonts w:ascii="Times New Roman" w:hAnsi="Times New Roman"/>
                <w:sz w:val="24"/>
                <w:szCs w:val="24"/>
                <w:lang w:val="lv-LV"/>
              </w:rPr>
              <w:t>bordo</w:t>
            </w:r>
            <w:proofErr w:type="spellEnd"/>
            <w:r w:rsidRPr="00B25311">
              <w:rPr>
                <w:rFonts w:ascii="Times New Roman" w:hAnsi="Times New Roman"/>
                <w:sz w:val="24"/>
                <w:szCs w:val="24"/>
                <w:lang w:val="lv-LV"/>
              </w:rPr>
              <w:t>;</w:t>
            </w:r>
            <w:r w:rsidRPr="00B25311">
              <w:rPr>
                <w:rFonts w:ascii="Times New Roman" w:hAnsi="Times New Roman"/>
                <w:sz w:val="24"/>
                <w:szCs w:val="24"/>
                <w:lang w:val="lv-LV"/>
              </w:rPr>
              <w:br/>
              <w:t xml:space="preserve">4.modulis - 1 gab.- sarkanā; 1 gab. - gaiši pelēkā; 1 gab. - tumši pelēkā, 1 gab. - </w:t>
            </w:r>
            <w:proofErr w:type="spellStart"/>
            <w:r w:rsidRPr="00B25311">
              <w:rPr>
                <w:rFonts w:ascii="Times New Roman" w:hAnsi="Times New Roman"/>
                <w:sz w:val="24"/>
                <w:szCs w:val="24"/>
                <w:lang w:val="lv-LV"/>
              </w:rPr>
              <w:t>bordo</w:t>
            </w:r>
            <w:proofErr w:type="spellEnd"/>
            <w:r w:rsidRPr="00B25311">
              <w:rPr>
                <w:rFonts w:ascii="Times New Roman" w:hAnsi="Times New Roman"/>
                <w:sz w:val="24"/>
                <w:szCs w:val="24"/>
                <w:lang w:val="lv-LV"/>
              </w:rPr>
              <w:t xml:space="preserve"> krāsā.</w:t>
            </w:r>
          </w:p>
          <w:p w:rsidR="0031201A" w:rsidRPr="00547037" w:rsidRDefault="0031201A" w:rsidP="00F255FD">
            <w:pPr>
              <w:ind w:left="-73"/>
              <w:jc w:val="left"/>
              <w:rPr>
                <w:rFonts w:ascii="Times New Roman" w:eastAsia="Times New Roman" w:hAnsi="Times New Roman" w:cs="Times New Roman"/>
                <w:sz w:val="24"/>
                <w:szCs w:val="24"/>
                <w:lang w:val="lv-LV" w:eastAsia="en-GB"/>
              </w:rPr>
            </w:pPr>
          </w:p>
        </w:tc>
      </w:tr>
      <w:tr w:rsidR="00B50E49" w:rsidRPr="006E2CC1" w:rsidTr="006E2CC1">
        <w:tc>
          <w:tcPr>
            <w:tcW w:w="553" w:type="dxa"/>
          </w:tcPr>
          <w:p w:rsidR="00B50E49" w:rsidRPr="006E2CC1" w:rsidRDefault="00B50E49" w:rsidP="00F255FD">
            <w:pPr>
              <w:jc w:val="left"/>
              <w:rPr>
                <w:rFonts w:ascii="Cambria" w:eastAsia="Times New Roman" w:hAnsi="Cambria" w:cs="Times New Roman"/>
                <w:sz w:val="24"/>
                <w:szCs w:val="24"/>
                <w:lang w:val="lv-LV" w:eastAsia="en-GB"/>
              </w:rPr>
            </w:pPr>
          </w:p>
        </w:tc>
        <w:tc>
          <w:tcPr>
            <w:tcW w:w="3762" w:type="dxa"/>
          </w:tcPr>
          <w:p w:rsidR="006E2CC1" w:rsidRDefault="006E2CC1" w:rsidP="006E2CC1">
            <w:pPr>
              <w:jc w:val="both"/>
              <w:rPr>
                <w:rFonts w:ascii="Times New Roman" w:hAnsi="Times New Roman"/>
                <w:sz w:val="24"/>
                <w:szCs w:val="24"/>
                <w:lang w:val="lv-LV"/>
              </w:rPr>
            </w:pPr>
            <w:r w:rsidRPr="009A3395">
              <w:rPr>
                <w:rFonts w:ascii="Times New Roman" w:hAnsi="Times New Roman"/>
                <w:sz w:val="24"/>
                <w:szCs w:val="24"/>
                <w:lang w:val="lv-LV"/>
              </w:rPr>
              <w:t>Iepirkuma nolikumā noteiktais līguma izpildes termiņš 30 kalendārās dienas nevar tikt uzskatīts par samērīgu, ņemot vērā iepirkuma apjomu, jo speciālo mēbeļu konstruēšanu, materiālu sagādi, ražošanu, piegādi un montāžu objektā nav iespējams veikt tik īsā termiņā. Kā arī tehniskā specifikācija satur produktus, kuri vai kuru komponentes ir jāimportē no ārvalstīm, kas aizņem papildus laiku. Uz kādiem pamatojumiem balstoties, ir noteikts tieši šāds izpildes termiņš?</w:t>
            </w:r>
          </w:p>
          <w:p w:rsidR="00B50E49" w:rsidRPr="00B50E49" w:rsidRDefault="00B50E49" w:rsidP="00F255FD">
            <w:pPr>
              <w:spacing w:before="100" w:beforeAutospacing="1" w:after="100" w:afterAutospacing="1"/>
              <w:jc w:val="left"/>
              <w:rPr>
                <w:rFonts w:ascii="Times New Roman" w:eastAsia="Times New Roman" w:hAnsi="Times New Roman" w:cs="Times New Roman"/>
                <w:bCs/>
                <w:sz w:val="24"/>
                <w:szCs w:val="24"/>
                <w:lang w:val="lv-LV"/>
              </w:rPr>
            </w:pPr>
          </w:p>
        </w:tc>
        <w:tc>
          <w:tcPr>
            <w:tcW w:w="5760" w:type="dxa"/>
          </w:tcPr>
          <w:p w:rsidR="006E2CC1" w:rsidRDefault="006E2CC1" w:rsidP="006E2CC1">
            <w:pPr>
              <w:ind w:firstLine="720"/>
              <w:jc w:val="both"/>
              <w:rPr>
                <w:rFonts w:ascii="Times New Roman" w:hAnsi="Times New Roman"/>
                <w:sz w:val="24"/>
                <w:szCs w:val="24"/>
                <w:lang w:val="lv-LV"/>
              </w:rPr>
            </w:pPr>
            <w:r w:rsidRPr="00B25311">
              <w:rPr>
                <w:rFonts w:ascii="Times New Roman" w:hAnsi="Times New Roman"/>
                <w:sz w:val="24"/>
                <w:szCs w:val="24"/>
                <w:lang w:val="lv-LV"/>
              </w:rPr>
              <w:t xml:space="preserve">Iepirkumu komisija uzskata, ka Iepirkuma procedūras nolikumā noteiktais līguma izpildes termiņš - 30 kalendārās dienas ir noteikts samērīgi, jo mēbeles ir paredzētas mācību iestādes aprīkošanai, kas ir nepieciešams pēc iespējas ātrākai mācību procesa nodrošināšanai Ludzas pilsētā, jo pašlaik mācību process tiek organizēts ārpus Ludzas pilsētas ģimnāzijas telpām, kas rada ievērojamas grūtības mācību procesa kvalitātes nodrošināšanai. </w:t>
            </w:r>
          </w:p>
          <w:p w:rsidR="00B50E49" w:rsidRDefault="00B50E49" w:rsidP="00F255FD">
            <w:pPr>
              <w:ind w:left="-73"/>
              <w:jc w:val="left"/>
              <w:rPr>
                <w:rFonts w:ascii="Times New Roman" w:eastAsia="Times New Roman" w:hAnsi="Times New Roman" w:cs="Times New Roman"/>
                <w:sz w:val="24"/>
                <w:szCs w:val="24"/>
                <w:lang w:val="lv-LV" w:eastAsia="en-GB"/>
              </w:rPr>
            </w:pPr>
          </w:p>
        </w:tc>
      </w:tr>
      <w:tr w:rsidR="006E2CC1" w:rsidRPr="006E2CC1" w:rsidTr="006E2CC1">
        <w:tc>
          <w:tcPr>
            <w:tcW w:w="553" w:type="dxa"/>
          </w:tcPr>
          <w:p w:rsidR="006E2CC1" w:rsidRPr="006E2CC1" w:rsidRDefault="006E2CC1" w:rsidP="00F255FD">
            <w:pPr>
              <w:jc w:val="left"/>
              <w:rPr>
                <w:rFonts w:ascii="Cambria" w:eastAsia="Times New Roman" w:hAnsi="Cambria" w:cs="Times New Roman"/>
                <w:sz w:val="24"/>
                <w:szCs w:val="24"/>
                <w:lang w:val="lv-LV" w:eastAsia="en-GB"/>
              </w:rPr>
            </w:pPr>
          </w:p>
        </w:tc>
        <w:tc>
          <w:tcPr>
            <w:tcW w:w="3762" w:type="dxa"/>
          </w:tcPr>
          <w:p w:rsidR="006E2CC1" w:rsidRPr="00B50E49" w:rsidRDefault="006E2CC1" w:rsidP="006E2CC1">
            <w:pPr>
              <w:ind w:firstLine="720"/>
              <w:jc w:val="both"/>
              <w:rPr>
                <w:rFonts w:ascii="Times New Roman" w:eastAsia="Times New Roman" w:hAnsi="Times New Roman" w:cs="Times New Roman"/>
                <w:bCs/>
                <w:sz w:val="24"/>
                <w:szCs w:val="24"/>
                <w:lang w:val="lv-LV"/>
              </w:rPr>
            </w:pPr>
            <w:r w:rsidRPr="00C3361C">
              <w:rPr>
                <w:rFonts w:ascii="Times New Roman" w:hAnsi="Times New Roman"/>
                <w:sz w:val="24"/>
                <w:szCs w:val="24"/>
                <w:lang w:val="lv-LV"/>
              </w:rPr>
              <w:t>Iepirkuma nolikumā ietvertā līguma projekta punktos 6.2 un 6.3 minēts līgumsods 10% apmērā par katru nokavēto dienu. Mūsuprāt, šāda apmēra līgumsods nevar tikt uzskatīts par samērīgu, jo tas ir aptuveni desmit reizes lielāks, kā citos līdzīga apjoma un satura iepirkumos. Uz kādiem pamatojumiem balstoties, ir noteikts tieši šāda apjoma līgumsods?</w:t>
            </w:r>
          </w:p>
        </w:tc>
        <w:tc>
          <w:tcPr>
            <w:tcW w:w="5760" w:type="dxa"/>
          </w:tcPr>
          <w:p w:rsidR="006E2CC1" w:rsidRPr="00C3361C" w:rsidRDefault="006E2CC1" w:rsidP="006E2CC1">
            <w:pPr>
              <w:jc w:val="both"/>
              <w:rPr>
                <w:rFonts w:ascii="Times New Roman" w:hAnsi="Times New Roman"/>
                <w:sz w:val="24"/>
                <w:szCs w:val="24"/>
                <w:lang w:val="lv-LV"/>
              </w:rPr>
            </w:pPr>
            <w:r>
              <w:rPr>
                <w:rFonts w:ascii="Times New Roman" w:hAnsi="Times New Roman"/>
                <w:sz w:val="24"/>
                <w:szCs w:val="24"/>
                <w:lang w:val="lv-LV"/>
              </w:rPr>
              <w:t>Konkursa nolikuma</w:t>
            </w:r>
            <w:r w:rsidRPr="00C3361C">
              <w:rPr>
                <w:rFonts w:ascii="Times New Roman" w:hAnsi="Times New Roman"/>
                <w:sz w:val="24"/>
                <w:szCs w:val="24"/>
                <w:lang w:val="lv-LV"/>
              </w:rPr>
              <w:t xml:space="preserve"> Līguma projekta 6.2.un 6.3.punktā noteikts vienāds līgumsods 10% apmērā gan pasūtītājam, gan izpildītājam. Līgumsods noteikts vienlīdzīgi, pamatojoties uz nepieciešamību pēc iespējas ātrāk izpildīt līgumsaistības un nokomplektēt mācību iestādi ar mēbelēm un aprīkojumu, lai nodrošinātu mācību procesu. </w:t>
            </w:r>
          </w:p>
          <w:p w:rsidR="006E2CC1" w:rsidRDefault="006E2CC1" w:rsidP="00F255FD">
            <w:pPr>
              <w:ind w:left="-73"/>
              <w:jc w:val="left"/>
              <w:rPr>
                <w:rFonts w:ascii="Times New Roman" w:eastAsia="Times New Roman" w:hAnsi="Times New Roman" w:cs="Times New Roman"/>
                <w:sz w:val="24"/>
                <w:szCs w:val="24"/>
                <w:lang w:val="lv-LV" w:eastAsia="en-GB"/>
              </w:rPr>
            </w:pPr>
          </w:p>
        </w:tc>
      </w:tr>
    </w:tbl>
    <w:p w:rsidR="001A2A37" w:rsidRPr="0031201A" w:rsidRDefault="001A2A37" w:rsidP="006E2CC1">
      <w:pPr>
        <w:rPr>
          <w:lang w:val="lv-LV"/>
        </w:rPr>
      </w:pPr>
    </w:p>
    <w:sectPr w:rsidR="001A2A37" w:rsidRPr="0031201A"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1A"/>
    <w:rsid w:val="001A2A37"/>
    <w:rsid w:val="0031201A"/>
    <w:rsid w:val="003D7B17"/>
    <w:rsid w:val="0066255D"/>
    <w:rsid w:val="006E2CC1"/>
    <w:rsid w:val="00900583"/>
    <w:rsid w:val="00B0138B"/>
    <w:rsid w:val="00B50E49"/>
    <w:rsid w:val="00F2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F2B7-44EB-480A-A4C1-25E92E0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1A"/>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01A"/>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01A"/>
    <w:rPr>
      <w:color w:val="0000FF"/>
      <w:u w:val="single"/>
    </w:rPr>
  </w:style>
  <w:style w:type="paragraph" w:customStyle="1" w:styleId="Default">
    <w:name w:val="Default"/>
    <w:rsid w:val="006E2C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2017-11-08T14:30:00Z</dcterms:created>
  <dcterms:modified xsi:type="dcterms:W3CDTF">2017-11-08T14:30:00Z</dcterms:modified>
</cp:coreProperties>
</file>