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C1" w:rsidRPr="00F32E50" w:rsidRDefault="00FC13C1" w:rsidP="00FC13C1">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FC13C1" w:rsidRPr="00F32E50" w:rsidRDefault="00FC13C1" w:rsidP="00FC13C1">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4807"/>
        <w:gridCol w:w="4895"/>
      </w:tblGrid>
      <w:tr w:rsidR="00FC13C1" w:rsidRPr="00F32E50" w:rsidTr="00164497">
        <w:tc>
          <w:tcPr>
            <w:tcW w:w="553" w:type="dxa"/>
            <w:shd w:val="clear" w:color="auto" w:fill="D9D9D9" w:themeFill="background1" w:themeFillShade="D9"/>
          </w:tcPr>
          <w:p w:rsidR="00FC13C1" w:rsidRPr="00F32E50" w:rsidRDefault="00FC13C1" w:rsidP="00164497">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807" w:type="dxa"/>
            <w:shd w:val="clear" w:color="auto" w:fill="D9D9D9" w:themeFill="background1" w:themeFillShade="D9"/>
          </w:tcPr>
          <w:p w:rsidR="00FC13C1" w:rsidRPr="00F32E50" w:rsidRDefault="00FC13C1" w:rsidP="00164497">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895" w:type="dxa"/>
            <w:shd w:val="clear" w:color="auto" w:fill="D9D9D9" w:themeFill="background1" w:themeFillShade="D9"/>
          </w:tcPr>
          <w:p w:rsidR="00FC13C1" w:rsidRPr="00F32E50" w:rsidRDefault="00FC13C1" w:rsidP="00164497">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FC13C1" w:rsidRPr="00F32E50" w:rsidTr="00164497">
        <w:tc>
          <w:tcPr>
            <w:tcW w:w="10255" w:type="dxa"/>
            <w:gridSpan w:val="3"/>
          </w:tcPr>
          <w:p w:rsidR="00FC13C1" w:rsidRPr="00F32E50" w:rsidRDefault="00FC13C1" w:rsidP="00826D75">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w:t>
            </w:r>
            <w:r w:rsidR="00826D75">
              <w:rPr>
                <w:rFonts w:ascii="Cambria" w:eastAsia="Times New Roman" w:hAnsi="Cambria" w:cs="Times New Roman"/>
                <w:b/>
                <w:sz w:val="24"/>
                <w:szCs w:val="24"/>
                <w:lang w:val="lv-LV" w:eastAsia="en-GB"/>
              </w:rPr>
              <w:t>8</w:t>
            </w:r>
            <w:r w:rsidRPr="00F32E50">
              <w:rPr>
                <w:rFonts w:ascii="Cambria" w:eastAsia="Times New Roman" w:hAnsi="Cambria" w:cs="Times New Roman"/>
                <w:b/>
                <w:sz w:val="24"/>
                <w:szCs w:val="24"/>
                <w:lang w:val="lv-LV" w:eastAsia="en-GB"/>
              </w:rPr>
              <w:t>.</w:t>
            </w:r>
            <w:r w:rsidR="00826D75">
              <w:rPr>
                <w:rFonts w:ascii="Cambria" w:eastAsia="Times New Roman" w:hAnsi="Cambria" w:cs="Times New Roman"/>
                <w:b/>
                <w:sz w:val="24"/>
                <w:szCs w:val="24"/>
                <w:lang w:val="lv-LV" w:eastAsia="en-GB"/>
              </w:rPr>
              <w:t>0</w:t>
            </w:r>
            <w:r>
              <w:rPr>
                <w:rFonts w:ascii="Cambria" w:eastAsia="Times New Roman" w:hAnsi="Cambria" w:cs="Times New Roman"/>
                <w:b/>
                <w:sz w:val="24"/>
                <w:szCs w:val="24"/>
                <w:lang w:val="lv-LV" w:eastAsia="en-GB"/>
              </w:rPr>
              <w:t>2</w:t>
            </w:r>
            <w:r w:rsidRPr="00F32E50">
              <w:rPr>
                <w:rFonts w:ascii="Cambria" w:eastAsia="Times New Roman" w:hAnsi="Cambria" w:cs="Times New Roman"/>
                <w:b/>
                <w:sz w:val="24"/>
                <w:szCs w:val="24"/>
                <w:lang w:val="lv-LV" w:eastAsia="en-GB"/>
              </w:rPr>
              <w:t>.201</w:t>
            </w:r>
            <w:r w:rsidR="00826D75">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FC13C1" w:rsidRPr="00826D75" w:rsidTr="00164497">
        <w:tc>
          <w:tcPr>
            <w:tcW w:w="553" w:type="dxa"/>
          </w:tcPr>
          <w:p w:rsidR="00FC13C1" w:rsidRPr="00F32E50" w:rsidRDefault="00FC13C1" w:rsidP="0016449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4807" w:type="dxa"/>
          </w:tcPr>
          <w:p w:rsidR="00826D75" w:rsidRPr="00826D75" w:rsidRDefault="00826D75" w:rsidP="00826D75">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 xml:space="preserve">Par nolikuma 3.10.punkta prasību. </w:t>
            </w:r>
          </w:p>
          <w:p w:rsidR="00FC13C1" w:rsidRPr="00547037" w:rsidRDefault="00826D75" w:rsidP="00826D75">
            <w:pPr>
              <w:jc w:val="both"/>
              <w:rPr>
                <w:rFonts w:ascii="Times New Roman" w:eastAsia="Times New Roman" w:hAnsi="Times New Roman" w:cs="Times New Roman"/>
                <w:sz w:val="24"/>
                <w:szCs w:val="24"/>
                <w:lang w:val="lv-LV" w:eastAsia="en-GB"/>
              </w:rPr>
            </w:pPr>
            <w:r w:rsidRPr="00826D75">
              <w:rPr>
                <w:rFonts w:ascii="Times New Roman" w:hAnsi="Times New Roman" w:cs="Times New Roman"/>
                <w:sz w:val="24"/>
                <w:szCs w:val="24"/>
                <w:lang w:val="lv-LV"/>
              </w:rPr>
              <w:t>Lūdzam precizēt, vai Pretendentam, tā norādītajam apakšuzņēmējam, kura veicamo būvdarbu vai sniedzamo pakalpojumu vērtība ir vismaz 20% (divdesmit procenti) no kopējās līguma vērtības un personai, uz kuras iespējām Pretendents balstās, VID izziņa jāiesniedz piedāvājumā vai tikai pēc Pasūtītāja rakstveida pieprasījuma?</w:t>
            </w:r>
          </w:p>
        </w:tc>
        <w:tc>
          <w:tcPr>
            <w:tcW w:w="4895" w:type="dxa"/>
          </w:tcPr>
          <w:p w:rsidR="00FC13C1" w:rsidRPr="00547037" w:rsidRDefault="00FC13C1" w:rsidP="007B2233">
            <w:pPr>
              <w:jc w:val="left"/>
              <w:rPr>
                <w:rFonts w:ascii="Times New Roman" w:eastAsia="Times New Roman" w:hAnsi="Times New Roman" w:cs="Times New Roman"/>
                <w:sz w:val="24"/>
                <w:szCs w:val="24"/>
                <w:lang w:val="lv-LV" w:eastAsia="en-GB"/>
              </w:rPr>
            </w:pPr>
            <w:r w:rsidRPr="00547037">
              <w:rPr>
                <w:rFonts w:ascii="Times New Roman" w:hAnsi="Times New Roman" w:cs="Times New Roman"/>
                <w:sz w:val="24"/>
                <w:szCs w:val="24"/>
                <w:lang w:val="lv-LV"/>
              </w:rPr>
              <w:t>Apstiprinām, ka Pretendentam</w:t>
            </w:r>
            <w:r w:rsidR="007B2233">
              <w:rPr>
                <w:rFonts w:ascii="Times New Roman" w:hAnsi="Times New Roman" w:cs="Times New Roman"/>
                <w:sz w:val="24"/>
                <w:szCs w:val="24"/>
                <w:lang w:val="lv-LV"/>
              </w:rPr>
              <w:t xml:space="preserve"> </w:t>
            </w:r>
            <w:r w:rsidR="007B2233" w:rsidRPr="00826D75">
              <w:rPr>
                <w:rFonts w:ascii="Times New Roman" w:hAnsi="Times New Roman" w:cs="Times New Roman"/>
                <w:sz w:val="24"/>
                <w:szCs w:val="24"/>
                <w:lang w:val="lv-LV"/>
              </w:rPr>
              <w:t xml:space="preserve">VID izziņa </w:t>
            </w:r>
            <w:r w:rsidR="007B2233">
              <w:rPr>
                <w:rFonts w:ascii="Times New Roman" w:hAnsi="Times New Roman" w:cs="Times New Roman"/>
                <w:sz w:val="24"/>
                <w:szCs w:val="24"/>
                <w:lang w:val="lv-LV"/>
              </w:rPr>
              <w:t xml:space="preserve">nav </w:t>
            </w:r>
            <w:r w:rsidR="007B2233" w:rsidRPr="00826D75">
              <w:rPr>
                <w:rFonts w:ascii="Times New Roman" w:hAnsi="Times New Roman" w:cs="Times New Roman"/>
                <w:sz w:val="24"/>
                <w:szCs w:val="24"/>
                <w:lang w:val="lv-LV"/>
              </w:rPr>
              <w:t>jāiesniedz piedāvājumā</w:t>
            </w:r>
            <w:r w:rsidR="007B2233">
              <w:rPr>
                <w:rFonts w:ascii="Times New Roman" w:hAnsi="Times New Roman" w:cs="Times New Roman"/>
                <w:sz w:val="24"/>
                <w:szCs w:val="24"/>
                <w:lang w:val="lv-LV"/>
              </w:rPr>
              <w:t>, bet</w:t>
            </w:r>
            <w:r w:rsidR="007B2233" w:rsidRPr="00826D75">
              <w:rPr>
                <w:rFonts w:ascii="Times New Roman" w:hAnsi="Times New Roman" w:cs="Times New Roman"/>
                <w:sz w:val="24"/>
                <w:szCs w:val="24"/>
                <w:lang w:val="lv-LV"/>
              </w:rPr>
              <w:t xml:space="preserve"> tikai pēc Pasūtītāja rakstveida pieprasījuma</w:t>
            </w:r>
            <w:r w:rsidR="007B2233">
              <w:rPr>
                <w:rFonts w:ascii="Times New Roman" w:hAnsi="Times New Roman" w:cs="Times New Roman"/>
                <w:sz w:val="24"/>
                <w:szCs w:val="24"/>
                <w:lang w:val="lv-LV"/>
              </w:rPr>
              <w:t>.</w:t>
            </w:r>
          </w:p>
        </w:tc>
      </w:tr>
      <w:tr w:rsidR="00FC13C1" w:rsidRPr="00826D75" w:rsidTr="00164497">
        <w:tc>
          <w:tcPr>
            <w:tcW w:w="553" w:type="dxa"/>
          </w:tcPr>
          <w:p w:rsidR="00FC13C1" w:rsidRPr="00F32E50" w:rsidRDefault="00FC13C1" w:rsidP="0016449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2.</w:t>
            </w:r>
          </w:p>
        </w:tc>
        <w:tc>
          <w:tcPr>
            <w:tcW w:w="4807" w:type="dxa"/>
          </w:tcPr>
          <w:p w:rsidR="00826D75" w:rsidRPr="00826D75" w:rsidRDefault="00826D75" w:rsidP="00826D75">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Par nolikuma 4.1.8.punkta prasībām attiecībā uz atsauksmju iesniegšanu.</w:t>
            </w:r>
          </w:p>
          <w:p w:rsidR="00FC13C1" w:rsidRPr="00547037" w:rsidRDefault="00826D75" w:rsidP="00923F4B">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Lūdzam skaidrot, vai par katru pieredzes tabulā norādīto objektu Pretendents drīkst iesniegt vienu vienotu atsauksmi, kurā tiek norādīti visi nolikuma 4.1.8.punktā minētie līguma ietvaros veikto darbu veidi un katra darbu veida apakšuzņēmējs (vai pats Pretendents, ja attiecināms)?</w:t>
            </w:r>
          </w:p>
        </w:tc>
        <w:tc>
          <w:tcPr>
            <w:tcW w:w="4895" w:type="dxa"/>
          </w:tcPr>
          <w:p w:rsidR="00FC13C1" w:rsidRPr="00547037" w:rsidRDefault="00923F4B" w:rsidP="00923F4B">
            <w:pPr>
              <w:spacing w:after="160" w:line="259" w:lineRule="auto"/>
              <w:jc w:val="both"/>
              <w:rPr>
                <w:rFonts w:ascii="Times New Roman" w:hAnsi="Times New Roman" w:cs="Times New Roman"/>
                <w:sz w:val="24"/>
                <w:szCs w:val="24"/>
                <w:lang w:val="lv-LV"/>
              </w:rPr>
            </w:pPr>
            <w:r w:rsidRPr="005C0E23">
              <w:rPr>
                <w:rFonts w:ascii="Times New Roman" w:hAnsi="Times New Roman" w:cs="Times New Roman"/>
                <w:sz w:val="24"/>
                <w:szCs w:val="24"/>
                <w:lang w:val="lv-LV"/>
              </w:rPr>
              <w:t>Pretendentam jāiesniedz pozitīvas pasūtītāja/-u atsauksmes par tabulā norādītajiem diviem objektiem, drīkst iesniegt vienu vienotu atsauksmi, kurā tiek norādīti visi nolikuma 4.1.8.punktā minētie līguma ietvaros veikto darbu veidi un katra darbu veida apakšuzņēmējs, bet darbiem jābūt  veiktiem divos objektos.</w:t>
            </w:r>
          </w:p>
          <w:p w:rsidR="00FC13C1" w:rsidRPr="00547037" w:rsidRDefault="00FC13C1" w:rsidP="00164497">
            <w:pPr>
              <w:jc w:val="left"/>
              <w:rPr>
                <w:rFonts w:ascii="Times New Roman" w:eastAsia="Times New Roman" w:hAnsi="Times New Roman" w:cs="Times New Roman"/>
                <w:sz w:val="24"/>
                <w:szCs w:val="24"/>
                <w:lang w:val="lv-LV" w:eastAsia="en-GB"/>
              </w:rPr>
            </w:pPr>
          </w:p>
        </w:tc>
      </w:tr>
      <w:tr w:rsidR="00826D75" w:rsidRPr="00826D75" w:rsidTr="00164497">
        <w:tc>
          <w:tcPr>
            <w:tcW w:w="553" w:type="dxa"/>
          </w:tcPr>
          <w:p w:rsidR="00826D75" w:rsidRDefault="00826D75" w:rsidP="0016449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3.</w:t>
            </w:r>
          </w:p>
        </w:tc>
        <w:tc>
          <w:tcPr>
            <w:tcW w:w="4807" w:type="dxa"/>
          </w:tcPr>
          <w:p w:rsidR="00826D75" w:rsidRPr="00826D75" w:rsidRDefault="00826D75" w:rsidP="00826D75">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 xml:space="preserve">Nolikuma 4.1.9.5.punktā ir noteikts, ka Pretendentam jāpiesaista speciālists telekomunikāciju sistēmu un tīklu būvdarbu vadīšanā ar iepriekšējo pieredzi objektos, kur veikta telekomunikāciju sistēmu un tīklu pārbūve. </w:t>
            </w:r>
          </w:p>
          <w:p w:rsidR="00826D75" w:rsidRPr="00826D75" w:rsidRDefault="00826D75" w:rsidP="00923F4B">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 xml:space="preserve">Ņemot vērā to, ka telekomunikāciju sistēmas parasti tiek būvētas no jauna, retāk paplašinātas esošās, lūdzam Pasūtītāju apstiprināt, ka Pretendents būs izpildījis nolikuma 4.1.9.5. punkta prasību, ja piedāvājumā norādīs speciālistu, kurš iepriekšējo 5 (piecu) kalendāro gadu laikā (no 2012.gada līdz piedāvājuma iesniegšanas brīdim) ir vadījis vismaz 2 (divus) objektus, kuros veikta telekomunikāciju sistēmu un tīklu pārbūve vai izbūve. </w:t>
            </w:r>
          </w:p>
        </w:tc>
        <w:tc>
          <w:tcPr>
            <w:tcW w:w="4895" w:type="dxa"/>
          </w:tcPr>
          <w:p w:rsidR="00923F4B" w:rsidRPr="005C0E23" w:rsidRDefault="00923F4B" w:rsidP="00923F4B">
            <w:pPr>
              <w:jc w:val="both"/>
              <w:rPr>
                <w:rFonts w:ascii="Times New Roman" w:hAnsi="Times New Roman" w:cs="Times New Roman"/>
                <w:sz w:val="24"/>
                <w:szCs w:val="24"/>
                <w:lang w:val="lv-LV"/>
              </w:rPr>
            </w:pPr>
            <w:r w:rsidRPr="005C0E23">
              <w:rPr>
                <w:rFonts w:ascii="Times New Roman" w:hAnsi="Times New Roman" w:cs="Times New Roman"/>
                <w:sz w:val="24"/>
                <w:szCs w:val="24"/>
                <w:lang w:val="lv-LV"/>
              </w:rPr>
              <w:t>Pasūtītājs apstiprina, ka pretendents var norādīt</w:t>
            </w:r>
            <w:r w:rsidRPr="005C0E23">
              <w:rPr>
                <w:rFonts w:ascii="Times New Roman" w:hAnsi="Times New Roman" w:cs="Times New Roman"/>
                <w:i/>
                <w:sz w:val="24"/>
                <w:szCs w:val="24"/>
                <w:lang w:val="lv-LV"/>
              </w:rPr>
              <w:t xml:space="preserve"> </w:t>
            </w:r>
            <w:r w:rsidRPr="005C0E23">
              <w:rPr>
                <w:rFonts w:ascii="Times New Roman" w:hAnsi="Times New Roman" w:cs="Times New Roman"/>
                <w:sz w:val="24"/>
                <w:szCs w:val="24"/>
                <w:lang w:val="lv-LV"/>
              </w:rPr>
              <w:t xml:space="preserve">speciālistu, kurš iepriekšējo 5 (piecu) kalendāro gadu laikā (no 2012.gada līdz piedāvājuma iesniegšanas brīdim) ir vadījis vismaz 2 (divus) objektus, kuros veikta telekomunikāciju sistēmu un tīklu pārbūve vai izbūve. </w:t>
            </w:r>
          </w:p>
          <w:p w:rsidR="00826D75" w:rsidRPr="00547037" w:rsidRDefault="00826D75" w:rsidP="00164497">
            <w:pPr>
              <w:jc w:val="left"/>
              <w:rPr>
                <w:rFonts w:ascii="Times New Roman" w:hAnsi="Times New Roman" w:cs="Times New Roman"/>
                <w:sz w:val="24"/>
                <w:szCs w:val="24"/>
                <w:lang w:val="lv-LV"/>
              </w:rPr>
            </w:pPr>
          </w:p>
        </w:tc>
      </w:tr>
      <w:tr w:rsidR="00826D75" w:rsidRPr="00826D75" w:rsidTr="00164497">
        <w:tc>
          <w:tcPr>
            <w:tcW w:w="553" w:type="dxa"/>
          </w:tcPr>
          <w:p w:rsidR="00826D75" w:rsidRDefault="00826D75" w:rsidP="0016449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4.</w:t>
            </w:r>
          </w:p>
        </w:tc>
        <w:tc>
          <w:tcPr>
            <w:tcW w:w="4807" w:type="dxa"/>
          </w:tcPr>
          <w:p w:rsidR="00826D75" w:rsidRPr="00826D75" w:rsidRDefault="00826D75" w:rsidP="00826D75">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 xml:space="preserve">Par nolikuma 4.1.9.punkta izpildi. </w:t>
            </w:r>
          </w:p>
          <w:p w:rsidR="00826D75" w:rsidRPr="00826D75" w:rsidRDefault="00826D75" w:rsidP="006339D8">
            <w:pPr>
              <w:jc w:val="both"/>
              <w:rPr>
                <w:rFonts w:ascii="Times New Roman" w:hAnsi="Times New Roman" w:cs="Times New Roman"/>
                <w:i/>
                <w:sz w:val="24"/>
                <w:szCs w:val="24"/>
                <w:lang w:val="lv-LV"/>
              </w:rPr>
            </w:pPr>
            <w:r w:rsidRPr="00826D75">
              <w:rPr>
                <w:rFonts w:ascii="Times New Roman" w:hAnsi="Times New Roman" w:cs="Times New Roman"/>
                <w:sz w:val="24"/>
                <w:szCs w:val="24"/>
                <w:lang w:val="lv-LV"/>
              </w:rPr>
              <w:t xml:space="preserve">Šajā nolikuma punktā </w:t>
            </w:r>
            <w:proofErr w:type="spellStart"/>
            <w:r w:rsidRPr="00826D75">
              <w:rPr>
                <w:rFonts w:ascii="Times New Roman" w:hAnsi="Times New Roman" w:cs="Times New Roman"/>
                <w:sz w:val="24"/>
                <w:szCs w:val="24"/>
                <w:lang w:val="lv-LV"/>
              </w:rPr>
              <w:t>citastarp</w:t>
            </w:r>
            <w:proofErr w:type="spellEnd"/>
            <w:r w:rsidRPr="00826D75">
              <w:rPr>
                <w:rFonts w:ascii="Times New Roman" w:hAnsi="Times New Roman" w:cs="Times New Roman"/>
                <w:sz w:val="24"/>
                <w:szCs w:val="24"/>
                <w:lang w:val="lv-LV"/>
              </w:rPr>
              <w:t xml:space="preserve"> ir noteikts, ka,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w:t>
            </w:r>
            <w:r w:rsidRPr="00826D75">
              <w:rPr>
                <w:rFonts w:ascii="Times New Roman" w:hAnsi="Times New Roman" w:cs="Times New Roman"/>
                <w:sz w:val="24"/>
                <w:szCs w:val="24"/>
                <w:lang w:val="lv-LV"/>
              </w:rPr>
              <w:lastRenderedPageBreak/>
              <w:t>Pretendentu tiks noslēgts iepirkuma līgums, līdz būvdarbu uzsākšanai izvirzītais ārvalstu speciālists iegūs profesionālās kvalifikācijas atzīšanas apliecību vai reģistrēsies attiecīgajā profesiju reģistrā.</w:t>
            </w:r>
            <w:r w:rsidRPr="00826D75">
              <w:rPr>
                <w:rFonts w:ascii="Times New Roman" w:hAnsi="Times New Roman" w:cs="Times New Roman"/>
                <w:i/>
                <w:sz w:val="24"/>
                <w:szCs w:val="24"/>
                <w:lang w:val="lv-LV"/>
              </w:rPr>
              <w:t xml:space="preserve">  </w:t>
            </w:r>
          </w:p>
        </w:tc>
        <w:tc>
          <w:tcPr>
            <w:tcW w:w="4895" w:type="dxa"/>
          </w:tcPr>
          <w:p w:rsidR="00F548CB" w:rsidRPr="00F548CB" w:rsidRDefault="00F548CB" w:rsidP="006339D8">
            <w:pPr>
              <w:shd w:val="clear" w:color="auto" w:fill="FFFFFF"/>
              <w:tabs>
                <w:tab w:val="left" w:pos="0"/>
              </w:tabs>
              <w:autoSpaceDE w:val="0"/>
              <w:autoSpaceDN w:val="0"/>
              <w:adjustRightInd w:val="0"/>
              <w:spacing w:before="120" w:after="120"/>
              <w:ind w:right="7"/>
              <w:jc w:val="both"/>
              <w:rPr>
                <w:rFonts w:ascii="Times New Roman" w:hAnsi="Times New Roman" w:cs="Times New Roman"/>
                <w:sz w:val="24"/>
                <w:szCs w:val="24"/>
                <w:lang w:val="lv-LV"/>
              </w:rPr>
            </w:pPr>
            <w:r w:rsidRPr="00F548CB">
              <w:rPr>
                <w:rFonts w:ascii="Times New Roman" w:hAnsi="Times New Roman" w:cs="Times New Roman"/>
                <w:bCs/>
                <w:sz w:val="24"/>
                <w:szCs w:val="24"/>
                <w:shd w:val="clear" w:color="auto" w:fill="FFFFFF"/>
                <w:lang w:val="lv-LV"/>
              </w:rPr>
              <w:lastRenderedPageBreak/>
              <w:t xml:space="preserve">Nolikuma </w:t>
            </w:r>
            <w:r>
              <w:rPr>
                <w:rFonts w:ascii="Times New Roman" w:hAnsi="Times New Roman" w:cs="Times New Roman"/>
                <w:bCs/>
                <w:sz w:val="24"/>
                <w:szCs w:val="24"/>
                <w:shd w:val="clear" w:color="auto" w:fill="FFFFFF"/>
                <w:lang w:val="lv-LV"/>
              </w:rPr>
              <w:t>4.1.9.prasība nav pretrunā ar likuma “</w:t>
            </w:r>
            <w:r w:rsidRPr="00F548CB">
              <w:rPr>
                <w:rFonts w:ascii="Times New Roman" w:hAnsi="Times New Roman" w:cs="Times New Roman"/>
                <w:bCs/>
                <w:sz w:val="24"/>
                <w:szCs w:val="24"/>
                <w:shd w:val="clear" w:color="auto" w:fill="FFFFFF"/>
                <w:lang w:val="lv-LV"/>
              </w:rPr>
              <w:t>Par reglamentētajām profesijām un profesionālās kvalifikācijas atzīšanu</w:t>
            </w:r>
            <w:r>
              <w:rPr>
                <w:rFonts w:ascii="Times New Roman" w:hAnsi="Times New Roman" w:cs="Times New Roman"/>
                <w:bCs/>
                <w:sz w:val="24"/>
                <w:szCs w:val="24"/>
                <w:shd w:val="clear" w:color="auto" w:fill="FFFFFF"/>
                <w:lang w:val="lv-LV"/>
              </w:rPr>
              <w:t>” nosacījumiem, līdz ar to</w:t>
            </w:r>
            <w:r w:rsidR="006339D8">
              <w:rPr>
                <w:rFonts w:ascii="Times New Roman" w:hAnsi="Times New Roman" w:cs="Times New Roman"/>
                <w:bCs/>
                <w:sz w:val="24"/>
                <w:szCs w:val="24"/>
                <w:shd w:val="clear" w:color="auto" w:fill="FFFFFF"/>
                <w:lang w:val="lv-LV"/>
              </w:rPr>
              <w:t xml:space="preserve"> piesaistītajiem</w:t>
            </w:r>
            <w:r>
              <w:rPr>
                <w:rFonts w:ascii="Times New Roman" w:hAnsi="Times New Roman" w:cs="Times New Roman"/>
                <w:bCs/>
                <w:sz w:val="24"/>
                <w:szCs w:val="24"/>
                <w:shd w:val="clear" w:color="auto" w:fill="FFFFFF"/>
                <w:lang w:val="lv-LV"/>
              </w:rPr>
              <w:t xml:space="preserve"> </w:t>
            </w:r>
            <w:r w:rsidR="006339D8" w:rsidRPr="00F548CB">
              <w:rPr>
                <w:rFonts w:ascii="Times New Roman" w:eastAsia="Times New Roman" w:hAnsi="Times New Roman" w:cs="Times New Roman"/>
                <w:sz w:val="24"/>
                <w:szCs w:val="24"/>
                <w:lang w:val="lv-LV"/>
              </w:rPr>
              <w:t>ārvalstu speciālist</w:t>
            </w:r>
            <w:r w:rsidR="006339D8">
              <w:rPr>
                <w:rFonts w:ascii="Times New Roman" w:eastAsia="Times New Roman" w:hAnsi="Times New Roman" w:cs="Times New Roman"/>
                <w:sz w:val="24"/>
                <w:szCs w:val="24"/>
                <w:lang w:val="lv-LV"/>
              </w:rPr>
              <w:t xml:space="preserve">iem prasības nav ierobežojošas. </w:t>
            </w:r>
          </w:p>
        </w:tc>
      </w:tr>
      <w:tr w:rsidR="00826D75" w:rsidRPr="00826D75" w:rsidTr="00164497">
        <w:tc>
          <w:tcPr>
            <w:tcW w:w="553" w:type="dxa"/>
          </w:tcPr>
          <w:p w:rsidR="00826D75" w:rsidRDefault="00826D75" w:rsidP="0016449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5.</w:t>
            </w:r>
          </w:p>
        </w:tc>
        <w:tc>
          <w:tcPr>
            <w:tcW w:w="4807" w:type="dxa"/>
          </w:tcPr>
          <w:p w:rsidR="00826D75" w:rsidRPr="00826D75" w:rsidRDefault="00826D75" w:rsidP="00826D75">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 xml:space="preserve">Nolikuma 4.1.9.6.punktā (pie Atbilstības pārbaude) un nolikuma 4.pielikumā “Būvdarbu vadītāja kvalifikācija un pieredze” ir norādīts, ka pretendentam par Būvdarbu vadītāju ir jāiesniedz saistību raksta kopijas tabulā norādītajiem objektiem. </w:t>
            </w:r>
          </w:p>
          <w:p w:rsidR="00826D75" w:rsidRPr="00826D75" w:rsidRDefault="00826D75" w:rsidP="00826D75">
            <w:pPr>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Ja Pretendents vēlas pieaicināt ārvalstīs reģistrētu sertificētu speciālistu – atbildīgo būvdarbu vadītāju, bet ārvalstīs reglamentētajā būvdarbu sfērā netiek izdoti būvdarbu vadītāju saistību raksti, vai Pasūtītājs akceptēs Pretendenta piedāvājumu, ja tas ārvalstī reģistrētā būvdarbu vadītāja pieredzi apliecinās, iesniedzot būvdarbu pabeigšanas aktus, kuros ir norāde par objekta atbildīgo būvdarbu vadītāju.</w:t>
            </w:r>
          </w:p>
          <w:p w:rsidR="00826D75" w:rsidRPr="00826D75" w:rsidRDefault="00826D75" w:rsidP="00826D75">
            <w:pPr>
              <w:jc w:val="both"/>
              <w:rPr>
                <w:rFonts w:ascii="Times New Roman" w:hAnsi="Times New Roman" w:cs="Times New Roman"/>
                <w:sz w:val="24"/>
                <w:szCs w:val="24"/>
                <w:lang w:val="lv-LV"/>
              </w:rPr>
            </w:pPr>
          </w:p>
        </w:tc>
        <w:tc>
          <w:tcPr>
            <w:tcW w:w="4895" w:type="dxa"/>
          </w:tcPr>
          <w:p w:rsidR="00F548CB" w:rsidRPr="005C0E23" w:rsidRDefault="00F548CB" w:rsidP="00F548CB">
            <w:pPr>
              <w:jc w:val="both"/>
              <w:rPr>
                <w:rFonts w:ascii="Times New Roman" w:hAnsi="Times New Roman" w:cs="Times New Roman"/>
                <w:sz w:val="24"/>
                <w:szCs w:val="24"/>
                <w:lang w:val="lv-LV"/>
              </w:rPr>
            </w:pPr>
            <w:r w:rsidRPr="005C0E23">
              <w:rPr>
                <w:rFonts w:ascii="Times New Roman" w:hAnsi="Times New Roman" w:cs="Times New Roman"/>
                <w:sz w:val="24"/>
                <w:szCs w:val="24"/>
                <w:lang w:val="lv-LV"/>
              </w:rPr>
              <w:t xml:space="preserve">Pasūtītājs akceptēs Pretendenta piedāvājumu, ja tas ārvalstī reģistrētā būvdarbu vadītāja pieredzi apliecinās, iesniedzot būvdarbu pabeigšanas aktus, kuros ir norāde par objekta atbildīgo būvdarbu vadītāju. </w:t>
            </w:r>
          </w:p>
          <w:p w:rsidR="00826D75" w:rsidRPr="00547037" w:rsidRDefault="00826D75" w:rsidP="00164497">
            <w:pPr>
              <w:jc w:val="left"/>
              <w:rPr>
                <w:rFonts w:ascii="Times New Roman" w:hAnsi="Times New Roman" w:cs="Times New Roman"/>
                <w:sz w:val="24"/>
                <w:szCs w:val="24"/>
                <w:lang w:val="lv-LV"/>
              </w:rPr>
            </w:pPr>
          </w:p>
        </w:tc>
      </w:tr>
      <w:tr w:rsidR="00826D75" w:rsidRPr="00826D75" w:rsidTr="00164497">
        <w:tc>
          <w:tcPr>
            <w:tcW w:w="553" w:type="dxa"/>
          </w:tcPr>
          <w:p w:rsidR="00826D75" w:rsidRDefault="00826D75" w:rsidP="00164497">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6.</w:t>
            </w:r>
          </w:p>
        </w:tc>
        <w:tc>
          <w:tcPr>
            <w:tcW w:w="4807" w:type="dxa"/>
          </w:tcPr>
          <w:p w:rsidR="00826D75" w:rsidRPr="00826D75" w:rsidRDefault="00826D75" w:rsidP="00826D75">
            <w:pPr>
              <w:spacing w:after="160" w:line="259" w:lineRule="auto"/>
              <w:jc w:val="both"/>
              <w:rPr>
                <w:rFonts w:ascii="Times New Roman" w:hAnsi="Times New Roman" w:cs="Times New Roman"/>
                <w:sz w:val="24"/>
                <w:szCs w:val="24"/>
                <w:lang w:val="lv-LV"/>
              </w:rPr>
            </w:pPr>
            <w:r w:rsidRPr="00826D75">
              <w:rPr>
                <w:rFonts w:ascii="Times New Roman" w:hAnsi="Times New Roman" w:cs="Times New Roman"/>
                <w:sz w:val="24"/>
                <w:szCs w:val="24"/>
                <w:lang w:val="lv-LV"/>
              </w:rPr>
              <w:t>Lokālajā tāmē Nr.2 “AR-BK-ĢP” daudzām pozīcijām nav norādīts</w:t>
            </w:r>
            <w:bookmarkStart w:id="0" w:name="_GoBack"/>
            <w:bookmarkEnd w:id="0"/>
            <w:r w:rsidRPr="00826D75">
              <w:rPr>
                <w:rFonts w:ascii="Times New Roman" w:hAnsi="Times New Roman" w:cs="Times New Roman"/>
                <w:sz w:val="24"/>
                <w:szCs w:val="24"/>
                <w:lang w:val="lv-LV"/>
              </w:rPr>
              <w:t xml:space="preserve"> materiālu daudzums. Lūdzam papildināt trūkstošās pozīcijas ar materiālu daudzumiem, lai tiktu nodrošināta vienlīdzīga un taisnīga attieksme pret visiem Pretendentiem. </w:t>
            </w:r>
          </w:p>
          <w:p w:rsidR="00826D75" w:rsidRPr="00826D75" w:rsidRDefault="00826D75" w:rsidP="00826D75">
            <w:pPr>
              <w:jc w:val="both"/>
              <w:rPr>
                <w:rFonts w:ascii="Times New Roman" w:hAnsi="Times New Roman" w:cs="Times New Roman"/>
                <w:sz w:val="24"/>
                <w:szCs w:val="24"/>
                <w:lang w:val="lv-LV"/>
              </w:rPr>
            </w:pPr>
          </w:p>
        </w:tc>
        <w:tc>
          <w:tcPr>
            <w:tcW w:w="4895" w:type="dxa"/>
          </w:tcPr>
          <w:p w:rsidR="00826D75" w:rsidRPr="00547037" w:rsidRDefault="00F548CB" w:rsidP="00F548CB">
            <w:pPr>
              <w:spacing w:after="160" w:line="259" w:lineRule="auto"/>
              <w:jc w:val="both"/>
              <w:rPr>
                <w:rFonts w:ascii="Times New Roman" w:hAnsi="Times New Roman" w:cs="Times New Roman"/>
                <w:sz w:val="24"/>
                <w:szCs w:val="24"/>
                <w:lang w:val="lv-LV"/>
              </w:rPr>
            </w:pPr>
            <w:r w:rsidRPr="005C0E23">
              <w:rPr>
                <w:rFonts w:ascii="Times New Roman" w:hAnsi="Times New Roman" w:cs="Times New Roman"/>
                <w:sz w:val="24"/>
                <w:szCs w:val="24"/>
                <w:lang w:val="lv-LV"/>
              </w:rPr>
              <w:t xml:space="preserve">Apjomu koptāmes un kopsavilkuma piezīmju punktā Nr.3 norādīts, ka „Būvuzņēmējam jādod pilna apjoma tendera cenu piedāvājums, ieskaitot palīgdarbus  un materiālus, kas nav uzrādīti tāmē, apjomu sarakstā un projektā, bet ir nepieciešami projektētā būvobjekta izbūvei un nodošanai ekspluatācijā”. </w:t>
            </w:r>
          </w:p>
        </w:tc>
      </w:tr>
    </w:tbl>
    <w:p w:rsidR="00FC13C1" w:rsidRPr="00131F2D" w:rsidRDefault="00FC13C1" w:rsidP="00FC13C1">
      <w:pPr>
        <w:rPr>
          <w:lang w:val="lv-LV"/>
        </w:rPr>
      </w:pPr>
    </w:p>
    <w:sectPr w:rsidR="00FC13C1" w:rsidRPr="0013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C1"/>
    <w:rsid w:val="006339D8"/>
    <w:rsid w:val="007A4793"/>
    <w:rsid w:val="007B2233"/>
    <w:rsid w:val="00826D75"/>
    <w:rsid w:val="00923F4B"/>
    <w:rsid w:val="00F548CB"/>
    <w:rsid w:val="00FC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6504E-AD42-47DC-B0A1-C7BBA6BA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C1"/>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C1"/>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2017-02-28T13:33:00Z</dcterms:created>
  <dcterms:modified xsi:type="dcterms:W3CDTF">2017-02-28T14:35:00Z</dcterms:modified>
</cp:coreProperties>
</file>