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Pārtikas preču piegāde Ludzas novada 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Istras vidusskolai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290A1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10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</w:t>
      </w:r>
      <w:r w:rsidR="006379A5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290A1F">
        <w:rPr>
          <w:rFonts w:ascii="Times New Roman" w:hAnsi="Times New Roman" w:cs="Times New Roman"/>
          <w:bCs/>
          <w:sz w:val="24"/>
          <w:szCs w:val="24"/>
          <w:lang w:val="lv-LV"/>
        </w:rPr>
        <w:t>5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r w:rsidR="00290A1F">
        <w:rPr>
          <w:rFonts w:ascii="Times New Roman" w:hAnsi="Times New Roman" w:cs="Times New Roman"/>
          <w:bCs/>
          <w:sz w:val="24"/>
          <w:szCs w:val="24"/>
          <w:lang w:val="lv-LV"/>
        </w:rPr>
        <w:t>Desas un gaļas izstrādājumi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AE36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430"/>
        <w:gridCol w:w="2520"/>
      </w:tblGrid>
      <w:tr w:rsidR="00965ADA" w:rsidRPr="00F55F1C" w:rsidTr="003D5266">
        <w:trPr>
          <w:trHeight w:val="26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DA" w:rsidRPr="00D8157A" w:rsidRDefault="00965ADA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F55F1C" w:rsidRDefault="00AE36F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SIA “</w:t>
            </w:r>
            <w:r w:rsidRPr="00AE36FD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Rēzeknes gaļas kombināts</w:t>
            </w:r>
            <w:r>
              <w:rPr>
                <w:rFonts w:ascii="Times New Roman" w:hAnsi="Times New Roman"/>
                <w:iCs/>
              </w:rPr>
              <w:t>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D8157A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Piešķirtie punkti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E36FD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631.6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965ADA" w:rsidRPr="00F55F1C" w:rsidTr="00D8157A">
        <w:trPr>
          <w:trHeight w:val="107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1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 w:rsidR="0031675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Istras vidusskolai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E36FD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E36F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E36F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</w:t>
      </w:r>
      <w:r w:rsidR="00AE36F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6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AE36FD" w:rsidRPr="00AE36FD">
        <w:rPr>
          <w:rFonts w:ascii="Times New Roman" w:hAnsi="Times New Roman"/>
          <w:iCs/>
          <w:lang w:val="lv-LV"/>
        </w:rPr>
        <w:t>SIA “</w:t>
      </w:r>
      <w:r w:rsidR="00AE36FD" w:rsidRPr="00AE36FD">
        <w:rPr>
          <w:rFonts w:ascii="Times New Roman" w:hAnsi="Times New Roman"/>
          <w:iCs/>
          <w:sz w:val="24"/>
          <w:szCs w:val="24"/>
          <w:lang w:val="lv-LV"/>
        </w:rPr>
        <w:t>Rēzeknes gaļas kombināts</w:t>
      </w:r>
      <w:r w:rsidR="00AE36FD" w:rsidRPr="00AE36FD">
        <w:rPr>
          <w:rFonts w:ascii="Times New Roman" w:hAnsi="Times New Roman"/>
          <w:iCs/>
          <w:lang w:val="lv-LV"/>
        </w:rPr>
        <w:t>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jo pretendentam ir saimnieciski izdevīgākais piedāvājums, kas ieguvis lielāko punktu skaitu – </w:t>
      </w:r>
      <w:r w:rsidR="00AE36FD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bookmarkStart w:id="0" w:name="_GoBack"/>
      <w:bookmarkEnd w:id="0"/>
      <w:r w:rsidR="006379A5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F695C"/>
    <w:rsid w:val="00290A1F"/>
    <w:rsid w:val="00316755"/>
    <w:rsid w:val="003B74C3"/>
    <w:rsid w:val="006379A5"/>
    <w:rsid w:val="0083314E"/>
    <w:rsid w:val="00893612"/>
    <w:rsid w:val="00965ADA"/>
    <w:rsid w:val="009C1871"/>
    <w:rsid w:val="00AE36FD"/>
    <w:rsid w:val="00D8157A"/>
    <w:rsid w:val="00DF627D"/>
    <w:rsid w:val="00E14352"/>
    <w:rsid w:val="00E9766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2017-10-12T08:39:00Z</dcterms:created>
  <dcterms:modified xsi:type="dcterms:W3CDTF">2017-10-12T08:39:00Z</dcterms:modified>
</cp:coreProperties>
</file>