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DE4A0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09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863102">
        <w:rPr>
          <w:rFonts w:ascii="Times New Roman" w:hAnsi="Times New Roman" w:cs="Times New Roman"/>
          <w:bCs/>
          <w:sz w:val="24"/>
          <w:szCs w:val="24"/>
          <w:lang w:val="lv-LV"/>
        </w:rPr>
        <w:t>6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863102">
        <w:rPr>
          <w:rFonts w:ascii="Times New Roman" w:hAnsi="Times New Roman" w:cs="Times New Roman"/>
          <w:bCs/>
          <w:sz w:val="24"/>
          <w:szCs w:val="24"/>
          <w:lang w:val="lv-LV"/>
        </w:rPr>
        <w:t>Svaigi augļi, dārzeņi un produkti sezonas periodā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E36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AE36FD" w:rsidP="00D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="00DE4A04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863102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586.32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E4A04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AE36FD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863102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863102" w:rsidP="0086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E4A04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AE36FD" w:rsidRPr="00AE36FD">
        <w:rPr>
          <w:rFonts w:ascii="Times New Roman" w:hAnsi="Times New Roman"/>
          <w:iCs/>
          <w:lang w:val="lv-LV"/>
        </w:rPr>
        <w:t>SIA “</w:t>
      </w:r>
      <w:r w:rsidR="00DE4A04">
        <w:rPr>
          <w:rFonts w:ascii="Times New Roman" w:hAnsi="Times New Roman"/>
          <w:iCs/>
          <w:sz w:val="24"/>
          <w:szCs w:val="24"/>
          <w:lang w:val="lv-LV"/>
        </w:rPr>
        <w:t>Marijas centrs</w:t>
      </w:r>
      <w:r w:rsidR="00AE36FD" w:rsidRPr="00AE36FD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86310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bookmarkStart w:id="0" w:name="_GoBack"/>
      <w:bookmarkEnd w:id="0"/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84106"/>
    <w:rsid w:val="001F695C"/>
    <w:rsid w:val="00290A1F"/>
    <w:rsid w:val="00316755"/>
    <w:rsid w:val="003B74C3"/>
    <w:rsid w:val="006379A5"/>
    <w:rsid w:val="0083314E"/>
    <w:rsid w:val="00863102"/>
    <w:rsid w:val="00893612"/>
    <w:rsid w:val="00965ADA"/>
    <w:rsid w:val="009C1871"/>
    <w:rsid w:val="00AE36FD"/>
    <w:rsid w:val="00D8157A"/>
    <w:rsid w:val="00DE4A04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2017-10-12T08:46:00Z</dcterms:created>
  <dcterms:modified xsi:type="dcterms:W3CDTF">2017-10-12T08:46:00Z</dcterms:modified>
</cp:coreProperties>
</file>