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5C" w:rsidRPr="0096156B" w:rsidRDefault="001F695C" w:rsidP="001F695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1F695C" w:rsidRPr="0096156B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83314E" w:rsidRDefault="008F7508" w:rsidP="001F69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Datortehnikas un aprīkojuma iegāde Ludzas pilsētas ģimnāzijai</w:t>
      </w:r>
    </w:p>
    <w:p w:rsidR="001F695C" w:rsidRPr="00DF627D" w:rsidRDefault="0083314E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ID Nr. LNP 2017/</w:t>
      </w:r>
      <w:r w:rsidR="008F7508">
        <w:rPr>
          <w:rFonts w:ascii="Times New Roman" w:hAnsi="Times New Roman" w:cs="Times New Roman"/>
          <w:b/>
          <w:bCs/>
          <w:sz w:val="28"/>
          <w:szCs w:val="28"/>
          <w:lang w:val="lv-LV"/>
        </w:rPr>
        <w:t>50/ERAF</w:t>
      </w:r>
      <w:r w:rsidR="001F695C"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 </w:t>
      </w:r>
    </w:p>
    <w:p w:rsidR="00DF627D" w:rsidRDefault="00DF627D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</w:p>
    <w:p w:rsidR="001F695C" w:rsidRPr="00DF627D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1F695C" w:rsidRPr="00A26A2D" w:rsidRDefault="001F695C" w:rsidP="001F695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8F750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25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E1435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okto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brī</w:t>
      </w: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1F695C" w:rsidRPr="0032132C" w:rsidRDefault="001F695C" w:rsidP="001F695C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1F695C" w:rsidRPr="0032132C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Pr="00B81E3D" w:rsidRDefault="001F695C" w:rsidP="001F695C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 w:rsidR="008F7508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50/ERAF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="008F750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="008F7508" w:rsidRPr="008F750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Datortehnikas un aprīkojuma iegāde Ludzas pilsētas ģimnāzijai</w:t>
      </w:r>
      <w:r w:rsidR="009C1871" w:rsidRPr="008F7508">
        <w:rPr>
          <w:rFonts w:ascii="Times New Roman" w:hAnsi="Times New Roman" w:cs="Times New Roman"/>
          <w:bCs/>
          <w:sz w:val="24"/>
          <w:szCs w:val="24"/>
          <w:lang w:val="lv-LV"/>
        </w:rPr>
        <w:t>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1F695C" w:rsidRDefault="001F695C" w:rsidP="001F695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4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8F750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25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8F750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septembrī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;</w:t>
      </w:r>
    </w:p>
    <w:p w:rsidR="001F695C" w:rsidRPr="00C22068" w:rsidRDefault="001F695C" w:rsidP="001F695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august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33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2017.gada  28.septembra sēdes lēmumu (protokols Nr.17, 17</w:t>
      </w:r>
      <w:r w:rsidR="00893612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§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).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 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Komisijas locek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ļi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-sekretār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Jeļena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Kigitoviča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Aleksandrs </w:t>
      </w:r>
      <w:proofErr w:type="spellStart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</w:p>
    <w:p w:rsidR="001F695C" w:rsidRPr="007D24F5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1F695C" w:rsidRPr="00A26A2D" w:rsidRDefault="001F695C" w:rsidP="001F695C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9C1871" w:rsidRP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līdz</w:t>
      </w:r>
      <w:r w:rsidR="009C1871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 w:rsidR="008F750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18.oktobrim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</w:t>
      </w:r>
      <w:r w:rsidR="008F750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;</w:t>
      </w:r>
    </w:p>
    <w:p w:rsidR="001F695C" w:rsidRPr="00A26A2D" w:rsidRDefault="001F695C" w:rsidP="001F695C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65ADA" w:rsidRDefault="001F695C" w:rsidP="001F695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vērtētie kritēriji, piešķirtie punkti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965ADA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tbl>
      <w:tblPr>
        <w:tblW w:w="88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3"/>
        <w:gridCol w:w="4607"/>
      </w:tblGrid>
      <w:tr w:rsidR="008F7508" w:rsidRPr="00C374D6" w:rsidTr="00C1224D">
        <w:trPr>
          <w:trHeight w:val="101"/>
          <w:jc w:val="center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8F7508" w:rsidRPr="00C374D6" w:rsidRDefault="008F7508" w:rsidP="00C1224D">
            <w:pPr>
              <w:widowControl w:val="0"/>
              <w:suppressAutoHyphens/>
              <w:autoSpaceDN w:val="0"/>
              <w:spacing w:after="0" w:line="240" w:lineRule="auto"/>
              <w:ind w:left="-284" w:right="-285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lv-LV" w:eastAsia="zh-CN" w:bidi="hi-IN"/>
              </w:rPr>
            </w:pPr>
            <w:r w:rsidRPr="00C374D6">
              <w:rPr>
                <w:rFonts w:ascii="Times New Roman" w:eastAsia="Times New Roman" w:hAnsi="Times New Roman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  <w:lastRenderedPageBreak/>
              <w:t>Pretendents</w:t>
            </w:r>
          </w:p>
        </w:tc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8F7508" w:rsidRPr="00C374D6" w:rsidRDefault="008F7508" w:rsidP="00C1224D">
            <w:pPr>
              <w:widowControl w:val="0"/>
              <w:suppressAutoHyphens/>
              <w:autoSpaceDN w:val="0"/>
              <w:spacing w:after="0"/>
              <w:ind w:left="-284" w:right="-285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lv-LV" w:eastAsia="zh-CN" w:bidi="hi-IN"/>
              </w:rPr>
            </w:pPr>
            <w:r w:rsidRPr="00C374D6">
              <w:rPr>
                <w:rFonts w:ascii="Times New Roman" w:hAnsi="Times New Roman"/>
                <w:i/>
                <w:kern w:val="3"/>
                <w:sz w:val="24"/>
                <w:szCs w:val="24"/>
                <w:lang w:val="lv-LV" w:eastAsia="zh-CN" w:bidi="hi-IN"/>
              </w:rPr>
              <w:t>Piedāvājuma kopējā cena bez PVN, EUR:</w:t>
            </w:r>
          </w:p>
        </w:tc>
      </w:tr>
      <w:tr w:rsidR="008F7508" w:rsidRPr="00C374D6" w:rsidTr="00C1224D">
        <w:trPr>
          <w:trHeight w:val="315"/>
          <w:jc w:val="center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8F7508" w:rsidRPr="00C374D6" w:rsidRDefault="008F7508" w:rsidP="00C1224D">
            <w:pPr>
              <w:spacing w:after="0"/>
              <w:ind w:left="-284" w:right="-285"/>
              <w:jc w:val="center"/>
              <w:rPr>
                <w:rFonts w:ascii="Times New Roman" w:hAnsi="Times New Roman"/>
                <w:lang w:val="lv-LV"/>
              </w:rPr>
            </w:pPr>
            <w:r w:rsidRPr="00410D2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</w:t>
            </w:r>
            <w:proofErr w:type="spellStart"/>
            <w:r w:rsidRPr="00410D2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TelCom</w:t>
            </w:r>
            <w:proofErr w:type="spellEnd"/>
            <w:r w:rsidRPr="00410D2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F7508" w:rsidRPr="00C374D6" w:rsidRDefault="008F7508" w:rsidP="00C1224D">
            <w:pPr>
              <w:widowControl w:val="0"/>
              <w:suppressAutoHyphens/>
              <w:autoSpaceDN w:val="0"/>
              <w:spacing w:after="0" w:line="240" w:lineRule="auto"/>
              <w:ind w:left="-284" w:right="-285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lv-LV" w:eastAsia="zh-CN" w:bidi="hi-IN"/>
              </w:rPr>
              <w:t>14 986,71</w:t>
            </w:r>
          </w:p>
        </w:tc>
      </w:tr>
      <w:tr w:rsidR="008F7508" w:rsidRPr="00C374D6" w:rsidTr="00C1224D">
        <w:trPr>
          <w:trHeight w:val="134"/>
          <w:jc w:val="center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8F7508" w:rsidRPr="00C374D6" w:rsidRDefault="008F7508" w:rsidP="00C1224D">
            <w:pPr>
              <w:spacing w:after="0"/>
              <w:ind w:left="-284" w:right="-285"/>
              <w:jc w:val="center"/>
              <w:rPr>
                <w:rFonts w:ascii="Times New Roman" w:hAnsi="Times New Roman"/>
                <w:lang w:val="lv-LV"/>
              </w:rPr>
            </w:pPr>
            <w:r w:rsidRPr="00410D2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“Baltijas Informācijas tehnoloģijas”</w:t>
            </w:r>
          </w:p>
        </w:tc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F7508" w:rsidRPr="00C374D6" w:rsidRDefault="008F7508" w:rsidP="00C1224D">
            <w:pPr>
              <w:widowControl w:val="0"/>
              <w:suppressAutoHyphens/>
              <w:autoSpaceDN w:val="0"/>
              <w:spacing w:after="0" w:line="240" w:lineRule="auto"/>
              <w:ind w:left="-284" w:right="-285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lv-LV" w:eastAsia="zh-CN" w:bidi="hi-IN"/>
              </w:rPr>
              <w:t>9 333,00</w:t>
            </w:r>
          </w:p>
        </w:tc>
      </w:tr>
      <w:tr w:rsidR="008F7508" w:rsidRPr="00C374D6" w:rsidTr="00C1224D">
        <w:trPr>
          <w:trHeight w:val="134"/>
          <w:jc w:val="center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F7508" w:rsidRPr="00C374D6" w:rsidRDefault="008F7508" w:rsidP="00C1224D">
            <w:pPr>
              <w:spacing w:after="0"/>
              <w:ind w:left="-284" w:right="-285"/>
              <w:jc w:val="center"/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</w:pPr>
            <w:r w:rsidRPr="00410D2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“PRINT &amp; SERVISS”</w:t>
            </w:r>
          </w:p>
        </w:tc>
        <w:tc>
          <w:tcPr>
            <w:tcW w:w="4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F7508" w:rsidRPr="00C374D6" w:rsidRDefault="008F7508" w:rsidP="00C1224D">
            <w:pPr>
              <w:widowControl w:val="0"/>
              <w:suppressAutoHyphens/>
              <w:autoSpaceDN w:val="0"/>
              <w:spacing w:after="0" w:line="240" w:lineRule="auto"/>
              <w:ind w:left="-284" w:right="-285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val="lv-LV" w:eastAsia="zh-CN" w:bidi="hi-IN"/>
              </w:rPr>
              <w:t>7 803,00</w:t>
            </w:r>
          </w:p>
        </w:tc>
      </w:tr>
    </w:tbl>
    <w:p w:rsidR="001F695C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Ludzā, Raiņa ielā 16, LV–5701, Ludzas novada pašvaldībā, 3.stāvā, </w:t>
      </w:r>
      <w:r w:rsid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“Mazā zāle”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 w:rsidR="008F750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18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8F750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oktobris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</w:t>
      </w:r>
      <w:r w:rsidR="008F750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1F695C" w:rsidRPr="00A26A2D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B81E3D" w:rsidRDefault="001F695C" w:rsidP="001F695C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2</w:t>
      </w:r>
      <w:r w:rsidR="008F750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4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</w:t>
      </w:r>
      <w:r w:rsidR="008F750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10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.2017. pieņemts lēmums piešķirt līguma slēgšanas tiesības pretendentam </w:t>
      </w:r>
      <w:r w:rsidR="008F7508" w:rsidRPr="00410D21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“PRINT &amp; SERVISS”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jo </w:t>
      </w:r>
      <w:r w:rsidR="008F7508">
        <w:rPr>
          <w:rFonts w:ascii="Times New Roman" w:eastAsia="Times New Roman" w:hAnsi="Times New Roman" w:cs="Times New Roman"/>
          <w:sz w:val="24"/>
          <w:szCs w:val="24"/>
          <w:lang w:val="lv-LV"/>
        </w:rPr>
        <w:t>pretendenta piedāvājums atbilst visām nolikuma prasībām un ir piedāvājums ar zemāko cenu.</w:t>
      </w:r>
    </w:p>
    <w:p w:rsidR="001F695C" w:rsidRPr="00B81E3D" w:rsidRDefault="001F695C" w:rsidP="001F695C">
      <w:pPr>
        <w:pStyle w:val="tv213"/>
        <w:spacing w:after="0" w:afterAutospacing="0"/>
        <w:rPr>
          <w:rFonts w:eastAsia="Calibri"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="008F7508">
        <w:t>apakšuzņēmēji netiek piesaistīt</w:t>
      </w:r>
      <w:r w:rsidR="00D8157A">
        <w:t>;</w:t>
      </w:r>
    </w:p>
    <w:p w:rsidR="001F695C" w:rsidRPr="008A48BE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1F695C" w:rsidRPr="00B81E3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8F750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noraidīto pretendentu nav</w:t>
      </w:r>
      <w:bookmarkStart w:id="0" w:name="_GoBack"/>
      <w:bookmarkEnd w:id="0"/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="00D8157A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attiecināms;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1F695C" w:rsidRPr="00A26A2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="00D8157A" w:rsidRP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interešu konflikti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konstatēti.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5A0269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Pr="007D5AF8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D8157A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Sagatavoja:</w:t>
      </w:r>
    </w:p>
    <w:p w:rsidR="001F695C" w:rsidRPr="00BE6351" w:rsidRDefault="001F695C" w:rsidP="001F695C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omisijas locekl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-sekretār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                                                         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</w:t>
      </w:r>
      <w:proofErr w:type="spellStart"/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A.Vasiļkovskis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E97666" w:rsidRPr="001F695C" w:rsidRDefault="00E97666">
      <w:pPr>
        <w:rPr>
          <w:lang w:val="lv-LV"/>
        </w:rPr>
      </w:pPr>
    </w:p>
    <w:sectPr w:rsidR="00E97666" w:rsidRPr="001F695C" w:rsidSect="001F695C">
      <w:pgSz w:w="12240" w:h="15840"/>
      <w:pgMar w:top="630" w:right="117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5C"/>
    <w:rsid w:val="001F695C"/>
    <w:rsid w:val="003B74C3"/>
    <w:rsid w:val="0083314E"/>
    <w:rsid w:val="00893612"/>
    <w:rsid w:val="008F7508"/>
    <w:rsid w:val="00965ADA"/>
    <w:rsid w:val="009C1871"/>
    <w:rsid w:val="00A72CFC"/>
    <w:rsid w:val="00D8157A"/>
    <w:rsid w:val="00DF627D"/>
    <w:rsid w:val="00E14352"/>
    <w:rsid w:val="00E97666"/>
    <w:rsid w:val="00F4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2F69-4CE1-41E4-AB46-D3229DC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F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2017-08-29T12:03:00Z</cp:lastPrinted>
  <dcterms:created xsi:type="dcterms:W3CDTF">2017-10-25T08:44:00Z</dcterms:created>
  <dcterms:modified xsi:type="dcterms:W3CDTF">2017-10-25T08:44:00Z</dcterms:modified>
</cp:coreProperties>
</file>