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2D" w:rsidRPr="00F32E50" w:rsidRDefault="00131F2D" w:rsidP="00131F2D">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131F2D" w:rsidRPr="00F32E50" w:rsidRDefault="00131F2D" w:rsidP="00131F2D">
      <w:pPr>
        <w:rPr>
          <w:rFonts w:ascii="Cambria" w:eastAsia="Times New Roman" w:hAnsi="Cambria" w:cs="Times New Roman"/>
          <w:b/>
          <w:sz w:val="24"/>
          <w:szCs w:val="24"/>
          <w:lang w:val="lv-LV" w:eastAsia="en-GB"/>
        </w:rPr>
      </w:pPr>
    </w:p>
    <w:tbl>
      <w:tblPr>
        <w:tblStyle w:val="TableGrid"/>
        <w:tblW w:w="10255" w:type="dxa"/>
        <w:tblLook w:val="04A0" w:firstRow="1" w:lastRow="0" w:firstColumn="1" w:lastColumn="0" w:noHBand="0" w:noVBand="1"/>
      </w:tblPr>
      <w:tblGrid>
        <w:gridCol w:w="553"/>
        <w:gridCol w:w="4658"/>
        <w:gridCol w:w="5044"/>
      </w:tblGrid>
      <w:tr w:rsidR="00131F2D" w:rsidRPr="00F32E50" w:rsidTr="00D468F7">
        <w:tc>
          <w:tcPr>
            <w:tcW w:w="553" w:type="dxa"/>
            <w:shd w:val="clear" w:color="auto" w:fill="D9D9D9" w:themeFill="background1" w:themeFillShade="D9"/>
          </w:tcPr>
          <w:p w:rsidR="00131F2D" w:rsidRPr="00F32E50" w:rsidRDefault="00131F2D" w:rsidP="00F15698">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658" w:type="dxa"/>
            <w:shd w:val="clear" w:color="auto" w:fill="D9D9D9" w:themeFill="background1" w:themeFillShade="D9"/>
          </w:tcPr>
          <w:p w:rsidR="00131F2D" w:rsidRPr="00F32E50" w:rsidRDefault="00131F2D" w:rsidP="00F1569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5044" w:type="dxa"/>
            <w:shd w:val="clear" w:color="auto" w:fill="D9D9D9" w:themeFill="background1" w:themeFillShade="D9"/>
          </w:tcPr>
          <w:p w:rsidR="00131F2D" w:rsidRPr="00F32E50" w:rsidRDefault="00131F2D" w:rsidP="00F1569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131F2D" w:rsidRPr="00F32E50" w:rsidTr="00131F2D">
        <w:tc>
          <w:tcPr>
            <w:tcW w:w="10255" w:type="dxa"/>
            <w:gridSpan w:val="3"/>
          </w:tcPr>
          <w:p w:rsidR="00131F2D" w:rsidRPr="00F32E50" w:rsidRDefault="00131F2D" w:rsidP="003836D5">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1</w:t>
            </w:r>
            <w:r w:rsidR="003836D5">
              <w:rPr>
                <w:rFonts w:ascii="Cambria" w:eastAsia="Times New Roman" w:hAnsi="Cambria" w:cs="Times New Roman"/>
                <w:b/>
                <w:sz w:val="24"/>
                <w:szCs w:val="24"/>
                <w:lang w:val="lv-LV" w:eastAsia="en-GB"/>
              </w:rPr>
              <w:t>4</w:t>
            </w:r>
            <w:r w:rsidRPr="00F32E50">
              <w:rPr>
                <w:rFonts w:ascii="Cambria" w:eastAsia="Times New Roman" w:hAnsi="Cambria" w:cs="Times New Roman"/>
                <w:b/>
                <w:sz w:val="24"/>
                <w:szCs w:val="24"/>
                <w:lang w:val="lv-LV" w:eastAsia="en-GB"/>
              </w:rPr>
              <w:t>.</w:t>
            </w:r>
            <w:r w:rsidR="003836D5">
              <w:rPr>
                <w:rFonts w:ascii="Cambria" w:eastAsia="Times New Roman" w:hAnsi="Cambria" w:cs="Times New Roman"/>
                <w:b/>
                <w:sz w:val="24"/>
                <w:szCs w:val="24"/>
                <w:lang w:val="lv-LV" w:eastAsia="en-GB"/>
              </w:rPr>
              <w:t>07</w:t>
            </w:r>
            <w:r w:rsidRPr="00F32E50">
              <w:rPr>
                <w:rFonts w:ascii="Cambria" w:eastAsia="Times New Roman" w:hAnsi="Cambria" w:cs="Times New Roman"/>
                <w:b/>
                <w:sz w:val="24"/>
                <w:szCs w:val="24"/>
                <w:lang w:val="lv-LV" w:eastAsia="en-GB"/>
              </w:rPr>
              <w:t>.201</w:t>
            </w:r>
            <w:r w:rsidR="003836D5">
              <w:rPr>
                <w:rFonts w:ascii="Cambria" w:eastAsia="Times New Roman" w:hAnsi="Cambria" w:cs="Times New Roman"/>
                <w:b/>
                <w:sz w:val="24"/>
                <w:szCs w:val="24"/>
                <w:lang w:val="lv-LV" w:eastAsia="en-GB"/>
              </w:rPr>
              <w:t>7</w:t>
            </w:r>
            <w:r w:rsidRPr="00F32E50">
              <w:rPr>
                <w:rFonts w:ascii="Cambria" w:eastAsia="Times New Roman" w:hAnsi="Cambria" w:cs="Times New Roman"/>
                <w:b/>
                <w:sz w:val="24"/>
                <w:szCs w:val="24"/>
                <w:lang w:val="lv-LV" w:eastAsia="en-GB"/>
              </w:rPr>
              <w:t>.</w:t>
            </w:r>
          </w:p>
        </w:tc>
      </w:tr>
      <w:tr w:rsidR="00131F2D" w:rsidRPr="003836D5" w:rsidTr="00D468F7">
        <w:tc>
          <w:tcPr>
            <w:tcW w:w="553" w:type="dxa"/>
          </w:tcPr>
          <w:p w:rsidR="00131F2D" w:rsidRPr="00F32E50" w:rsidRDefault="00131F2D" w:rsidP="00F15698">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4658" w:type="dxa"/>
          </w:tcPr>
          <w:p w:rsidR="003836D5" w:rsidRPr="003836D5" w:rsidRDefault="003836D5" w:rsidP="006F7612">
            <w:pPr>
              <w:widowControl w:val="0"/>
              <w:spacing w:after="87" w:line="274" w:lineRule="exact"/>
              <w:ind w:right="260"/>
              <w:jc w:val="left"/>
              <w:rPr>
                <w:rFonts w:ascii="Times New Roman" w:eastAsia="Times New Roman" w:hAnsi="Times New Roman" w:cs="Times New Roman"/>
                <w:i/>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1. Veicot iespējamo ELT sadaļas materiālu piegādātāju aptauju, secināts, ka konkursa dokumentācijai pievienotajā ELT sadaļas tāmē uzrādīti materiāli, kuri vairs netiek ražoti. Nolikuma 6.5.punktā ir minēts, ka “</w:t>
            </w:r>
            <w:r w:rsidRPr="003836D5">
              <w:rPr>
                <w:rFonts w:ascii="Times New Roman" w:eastAsia="Times New Roman" w:hAnsi="Times New Roman" w:cs="Times New Roman"/>
                <w:i/>
                <w:color w:val="000000"/>
                <w:sz w:val="24"/>
                <w:szCs w:val="24"/>
                <w:lang w:val="lv-LV" w:eastAsia="lv-LV" w:bidi="lv-LV"/>
              </w:rPr>
              <w:t>j</w:t>
            </w:r>
            <w:r w:rsidRPr="003836D5">
              <w:rPr>
                <w:rFonts w:ascii="Cambria" w:eastAsia="Times New Roman" w:hAnsi="Cambria"/>
                <w:i/>
                <w:szCs w:val="24"/>
                <w:lang w:val="lv-LV" w:eastAsia="lv-LV" w:bidi="ne-NP"/>
              </w:rPr>
              <w:t xml:space="preserve">a būvprojektā vai būvdarbu apjomos ir norādīti konkrēti zīmoli, markas ražotāji, pretendents ir tiesīgs piedāvāt </w:t>
            </w:r>
            <w:r w:rsidRPr="003836D5">
              <w:rPr>
                <w:rFonts w:ascii="Cambria" w:eastAsia="Times New Roman" w:hAnsi="Cambria"/>
                <w:b/>
                <w:i/>
                <w:szCs w:val="24"/>
                <w:lang w:val="lv-LV" w:eastAsia="lv-LV" w:bidi="ne-NP"/>
              </w:rPr>
              <w:t>ekvivalentu</w:t>
            </w:r>
            <w:r w:rsidRPr="003836D5">
              <w:rPr>
                <w:rFonts w:ascii="Cambria" w:eastAsia="Times New Roman" w:hAnsi="Cambria"/>
                <w:i/>
                <w:szCs w:val="24"/>
                <w:lang w:val="lv-LV" w:eastAsia="lv-LV" w:bidi="ne-NP"/>
              </w:rPr>
              <w:t xml:space="preserve"> vai analogu materiālu/ iekārtu, ja tā tehniskie parametri atbilst vai ir labāki par būvprojektā norādītājiem</w:t>
            </w:r>
            <w:r>
              <w:rPr>
                <w:rFonts w:ascii="Cambria" w:eastAsia="Times New Roman" w:hAnsi="Cambria"/>
                <w:i/>
                <w:szCs w:val="24"/>
                <w:lang w:val="lv-LV" w:eastAsia="lv-LV" w:bidi="ne-NP"/>
              </w:rPr>
              <w:t>”</w:t>
            </w:r>
            <w:r w:rsidRPr="003836D5">
              <w:rPr>
                <w:rFonts w:ascii="Cambria" w:eastAsia="Times New Roman" w:hAnsi="Cambria"/>
                <w:i/>
                <w:szCs w:val="24"/>
                <w:lang w:val="lv-LV" w:eastAsia="lv-LV" w:bidi="ne-NP"/>
              </w:rPr>
              <w:t>.</w:t>
            </w:r>
          </w:p>
          <w:p w:rsidR="00131F2D" w:rsidRDefault="003836D5" w:rsidP="006F7612">
            <w:pPr>
              <w:widowControl w:val="0"/>
              <w:spacing w:after="87" w:line="274" w:lineRule="exact"/>
              <w:ind w:right="260"/>
              <w:jc w:val="left"/>
              <w:rPr>
                <w:rFonts w:ascii="Times New Roman" w:eastAsia="Times New Roman" w:hAnsi="Times New Roman" w:cs="Times New Roman"/>
                <w:color w:val="000000"/>
                <w:sz w:val="24"/>
                <w:szCs w:val="24"/>
                <w:lang w:val="lv-LV" w:eastAsia="lv-LV" w:bidi="lv-LV"/>
              </w:rPr>
            </w:pPr>
            <w:r w:rsidRPr="003836D5">
              <w:rPr>
                <w:rFonts w:ascii="Times New Roman" w:eastAsia="Times New Roman" w:hAnsi="Times New Roman" w:cs="Times New Roman"/>
                <w:b/>
                <w:color w:val="000000"/>
                <w:sz w:val="24"/>
                <w:szCs w:val="24"/>
                <w:lang w:val="lv-LV" w:eastAsia="lv-LV" w:bidi="lv-LV"/>
              </w:rPr>
              <w:t>Jautājums:</w:t>
            </w:r>
            <w:r>
              <w:rPr>
                <w:rFonts w:ascii="Times New Roman" w:eastAsia="Times New Roman" w:hAnsi="Times New Roman" w:cs="Times New Roman"/>
                <w:color w:val="000000"/>
                <w:sz w:val="24"/>
                <w:szCs w:val="24"/>
                <w:lang w:val="lv-LV" w:eastAsia="lv-LV" w:bidi="lv-LV"/>
              </w:rPr>
              <w:t xml:space="preserve"> Kādi materiālu tehniskie parametri ir salīdzināmi pozīcijām “12. </w:t>
            </w:r>
            <w:r w:rsidRPr="003836D5">
              <w:rPr>
                <w:rFonts w:ascii="Times New Roman" w:hAnsi="Times New Roman"/>
                <w:sz w:val="24"/>
                <w:szCs w:val="24"/>
                <w:lang w:val="lv-LV"/>
              </w:rPr>
              <w:t>Apgaismojuma armatūra BOUSVAL LED STR 90CW</w:t>
            </w:r>
            <w:r w:rsidRPr="003836D5">
              <w:rPr>
                <w:rFonts w:ascii="Times New Roman" w:hAnsi="Times New Roman"/>
                <w:sz w:val="24"/>
                <w:szCs w:val="24"/>
                <w:lang w:val="lv-LV"/>
              </w:rPr>
              <w:t xml:space="preserve">” un </w:t>
            </w:r>
            <w:r>
              <w:rPr>
                <w:rFonts w:ascii="Times New Roman" w:hAnsi="Times New Roman"/>
                <w:sz w:val="24"/>
                <w:szCs w:val="24"/>
                <w:lang w:val="lv-LV"/>
              </w:rPr>
              <w:t>“</w:t>
            </w:r>
            <w:r w:rsidRPr="003836D5">
              <w:rPr>
                <w:rFonts w:ascii="Times New Roman" w:hAnsi="Times New Roman"/>
                <w:sz w:val="24"/>
                <w:szCs w:val="24"/>
                <w:lang w:val="lv-LV"/>
              </w:rPr>
              <w:t xml:space="preserve">13. </w:t>
            </w:r>
            <w:r w:rsidRPr="003836D5">
              <w:rPr>
                <w:rFonts w:ascii="Times New Roman" w:hAnsi="Times New Roman"/>
                <w:sz w:val="24"/>
                <w:szCs w:val="24"/>
                <w:lang w:val="lv-LV"/>
              </w:rPr>
              <w:t>Apgaismojuma armatūra 9311/150 HSE-K TRILUX 150 W/E40</w:t>
            </w:r>
            <w:r>
              <w:rPr>
                <w:rFonts w:ascii="Times New Roman" w:hAnsi="Times New Roman"/>
                <w:sz w:val="24"/>
                <w:szCs w:val="24"/>
                <w:lang w:val="lv-LV"/>
              </w:rPr>
              <w:t>”</w:t>
            </w:r>
            <w:r>
              <w:rPr>
                <w:rFonts w:ascii="Times New Roman" w:eastAsia="Times New Roman" w:hAnsi="Times New Roman" w:cs="Times New Roman"/>
                <w:color w:val="000000"/>
                <w:sz w:val="24"/>
                <w:szCs w:val="24"/>
                <w:lang w:val="lv-LV" w:eastAsia="lv-LV" w:bidi="lv-LV"/>
              </w:rPr>
              <w:t xml:space="preserve"> un kāda dokumentācija iesniedzama konkursa stadijā, ja pretendents vēlas piedāvāt ekvivalentu materiālu?</w:t>
            </w:r>
          </w:p>
          <w:p w:rsidR="003836D5" w:rsidRDefault="003836D5" w:rsidP="006F7612">
            <w:pPr>
              <w:widowControl w:val="0"/>
              <w:spacing w:after="87" w:line="274" w:lineRule="exact"/>
              <w:ind w:right="260"/>
              <w:jc w:val="left"/>
              <w:rPr>
                <w:rFonts w:ascii="Times New Roman" w:eastAsia="Times New Roman" w:hAnsi="Times New Roman" w:cs="Times New Roman"/>
                <w:color w:val="000000"/>
                <w:sz w:val="24"/>
                <w:szCs w:val="24"/>
                <w:lang w:val="lv-LV" w:eastAsia="lv-LV" w:bidi="lv-LV"/>
              </w:rPr>
            </w:pPr>
          </w:p>
          <w:p w:rsidR="003836D5" w:rsidRDefault="003836D5" w:rsidP="006F7612">
            <w:pPr>
              <w:widowControl w:val="0"/>
              <w:spacing w:after="87" w:line="274" w:lineRule="exact"/>
              <w:ind w:right="260"/>
              <w:jc w:val="left"/>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2. Kopš 27.05.2017.ir stājies spēkā LBN 501-17 “</w:t>
            </w:r>
            <w:proofErr w:type="spellStart"/>
            <w:r>
              <w:rPr>
                <w:rFonts w:ascii="Times New Roman" w:eastAsia="Times New Roman" w:hAnsi="Times New Roman" w:cs="Times New Roman"/>
                <w:color w:val="000000"/>
                <w:sz w:val="24"/>
                <w:szCs w:val="24"/>
                <w:lang w:val="lv-LV" w:eastAsia="lv-LV" w:bidi="lv-LV"/>
              </w:rPr>
              <w:t>Būvizmaksu</w:t>
            </w:r>
            <w:proofErr w:type="spellEnd"/>
            <w:r>
              <w:rPr>
                <w:rFonts w:ascii="Times New Roman" w:eastAsia="Times New Roman" w:hAnsi="Times New Roman" w:cs="Times New Roman"/>
                <w:color w:val="000000"/>
                <w:sz w:val="24"/>
                <w:szCs w:val="24"/>
                <w:lang w:val="lv-LV" w:eastAsia="lv-LV" w:bidi="lv-LV"/>
              </w:rPr>
              <w:t xml:space="preserve"> noteikšanas kārtība”</w:t>
            </w:r>
          </w:p>
          <w:p w:rsidR="003836D5" w:rsidRDefault="003836D5" w:rsidP="003836D5">
            <w:pPr>
              <w:widowControl w:val="0"/>
              <w:spacing w:after="87" w:line="274" w:lineRule="exact"/>
              <w:ind w:right="260"/>
              <w:jc w:val="left"/>
              <w:rPr>
                <w:rFonts w:ascii="Times New Roman" w:eastAsia="Times New Roman" w:hAnsi="Times New Roman" w:cs="Times New Roman"/>
                <w:color w:val="000000"/>
                <w:sz w:val="24"/>
                <w:szCs w:val="24"/>
                <w:lang w:val="lv-LV" w:eastAsia="lv-LV" w:bidi="lv-LV"/>
              </w:rPr>
            </w:pPr>
            <w:r w:rsidRPr="003836D5">
              <w:rPr>
                <w:rFonts w:ascii="Times New Roman" w:eastAsia="Times New Roman" w:hAnsi="Times New Roman" w:cs="Times New Roman"/>
                <w:b/>
                <w:color w:val="000000"/>
                <w:sz w:val="24"/>
                <w:szCs w:val="24"/>
                <w:lang w:val="lv-LV" w:eastAsia="lv-LV" w:bidi="lv-LV"/>
              </w:rPr>
              <w:t>Jautājums:</w:t>
            </w:r>
            <w:r>
              <w:rPr>
                <w:rFonts w:ascii="Times New Roman" w:eastAsia="Times New Roman" w:hAnsi="Times New Roman" w:cs="Times New Roman"/>
                <w:b/>
                <w:color w:val="000000"/>
                <w:sz w:val="24"/>
                <w:szCs w:val="24"/>
                <w:lang w:val="lv-LV" w:eastAsia="lv-LV" w:bidi="lv-LV"/>
              </w:rPr>
              <w:t xml:space="preserve"> </w:t>
            </w:r>
            <w:r w:rsidRPr="003836D5">
              <w:rPr>
                <w:rFonts w:ascii="Times New Roman" w:eastAsia="Times New Roman" w:hAnsi="Times New Roman" w:cs="Times New Roman"/>
                <w:color w:val="000000"/>
                <w:sz w:val="24"/>
                <w:szCs w:val="24"/>
                <w:lang w:val="lv-LV" w:eastAsia="lv-LV" w:bidi="lv-LV"/>
              </w:rPr>
              <w:t>Tāmju</w:t>
            </w:r>
            <w:r>
              <w:rPr>
                <w:rFonts w:ascii="Times New Roman" w:eastAsia="Times New Roman" w:hAnsi="Times New Roman" w:cs="Times New Roman"/>
                <w:color w:val="000000"/>
                <w:sz w:val="24"/>
                <w:szCs w:val="24"/>
                <w:lang w:val="lv-LV" w:eastAsia="lv-LV" w:bidi="lv-LV"/>
              </w:rPr>
              <w:t xml:space="preserve"> sagatavošanu veikt saskaņā ar LBN 501-17 </w:t>
            </w:r>
            <w:r>
              <w:rPr>
                <w:rFonts w:ascii="Times New Roman" w:eastAsia="Times New Roman" w:hAnsi="Times New Roman" w:cs="Times New Roman"/>
                <w:color w:val="000000"/>
                <w:sz w:val="24"/>
                <w:szCs w:val="24"/>
                <w:lang w:val="lv-LV" w:eastAsia="lv-LV" w:bidi="lv-LV"/>
              </w:rPr>
              <w:t>“</w:t>
            </w:r>
            <w:proofErr w:type="spellStart"/>
            <w:r>
              <w:rPr>
                <w:rFonts w:ascii="Times New Roman" w:eastAsia="Times New Roman" w:hAnsi="Times New Roman" w:cs="Times New Roman"/>
                <w:color w:val="000000"/>
                <w:sz w:val="24"/>
                <w:szCs w:val="24"/>
                <w:lang w:val="lv-LV" w:eastAsia="lv-LV" w:bidi="lv-LV"/>
              </w:rPr>
              <w:t>Būvizmaksu</w:t>
            </w:r>
            <w:proofErr w:type="spellEnd"/>
            <w:r>
              <w:rPr>
                <w:rFonts w:ascii="Times New Roman" w:eastAsia="Times New Roman" w:hAnsi="Times New Roman" w:cs="Times New Roman"/>
                <w:color w:val="000000"/>
                <w:sz w:val="24"/>
                <w:szCs w:val="24"/>
                <w:lang w:val="lv-LV" w:eastAsia="lv-LV" w:bidi="lv-LV"/>
              </w:rPr>
              <w:t xml:space="preserve"> noteikšanas kārtība”</w:t>
            </w:r>
            <w:r>
              <w:rPr>
                <w:rFonts w:ascii="Times New Roman" w:eastAsia="Times New Roman" w:hAnsi="Times New Roman" w:cs="Times New Roman"/>
                <w:color w:val="000000"/>
                <w:sz w:val="24"/>
                <w:szCs w:val="24"/>
                <w:lang w:val="lv-LV" w:eastAsia="lv-LV" w:bidi="lv-LV"/>
              </w:rPr>
              <w:t xml:space="preserve"> vai LBN 501-15 </w:t>
            </w:r>
            <w:r>
              <w:rPr>
                <w:rFonts w:ascii="Times New Roman" w:eastAsia="Times New Roman" w:hAnsi="Times New Roman" w:cs="Times New Roman"/>
                <w:color w:val="000000"/>
                <w:sz w:val="24"/>
                <w:szCs w:val="24"/>
                <w:lang w:val="lv-LV" w:eastAsia="lv-LV" w:bidi="lv-LV"/>
              </w:rPr>
              <w:t>“</w:t>
            </w:r>
            <w:proofErr w:type="spellStart"/>
            <w:r>
              <w:rPr>
                <w:rFonts w:ascii="Times New Roman" w:eastAsia="Times New Roman" w:hAnsi="Times New Roman" w:cs="Times New Roman"/>
                <w:color w:val="000000"/>
                <w:sz w:val="24"/>
                <w:szCs w:val="24"/>
                <w:lang w:val="lv-LV" w:eastAsia="lv-LV" w:bidi="lv-LV"/>
              </w:rPr>
              <w:t>Būvizmaksu</w:t>
            </w:r>
            <w:proofErr w:type="spellEnd"/>
            <w:r>
              <w:rPr>
                <w:rFonts w:ascii="Times New Roman" w:eastAsia="Times New Roman" w:hAnsi="Times New Roman" w:cs="Times New Roman"/>
                <w:color w:val="000000"/>
                <w:sz w:val="24"/>
                <w:szCs w:val="24"/>
                <w:lang w:val="lv-LV" w:eastAsia="lv-LV" w:bidi="lv-LV"/>
              </w:rPr>
              <w:t xml:space="preserve"> noteikšanas kārtība”</w:t>
            </w:r>
            <w:r>
              <w:rPr>
                <w:rFonts w:ascii="Times New Roman" w:eastAsia="Times New Roman" w:hAnsi="Times New Roman" w:cs="Times New Roman"/>
                <w:color w:val="000000"/>
                <w:sz w:val="24"/>
                <w:szCs w:val="24"/>
                <w:lang w:val="lv-LV" w:eastAsia="lv-LV" w:bidi="lv-LV"/>
              </w:rPr>
              <w:t>?</w:t>
            </w:r>
          </w:p>
          <w:p w:rsidR="003836D5" w:rsidRDefault="003836D5" w:rsidP="003836D5">
            <w:pPr>
              <w:widowControl w:val="0"/>
              <w:spacing w:after="87" w:line="274" w:lineRule="exact"/>
              <w:ind w:right="260"/>
              <w:jc w:val="left"/>
              <w:rPr>
                <w:rFonts w:ascii="Times New Roman" w:eastAsia="Times New Roman" w:hAnsi="Times New Roman" w:cs="Times New Roman"/>
                <w:color w:val="000000"/>
                <w:sz w:val="24"/>
                <w:szCs w:val="24"/>
                <w:lang w:val="lv-LV" w:eastAsia="lv-LV" w:bidi="lv-LV"/>
              </w:rPr>
            </w:pPr>
          </w:p>
          <w:p w:rsidR="003836D5" w:rsidRPr="003836D5" w:rsidRDefault="003836D5" w:rsidP="006F7612">
            <w:pPr>
              <w:widowControl w:val="0"/>
              <w:spacing w:after="87" w:line="274" w:lineRule="exact"/>
              <w:ind w:right="260"/>
              <w:jc w:val="left"/>
              <w:rPr>
                <w:rFonts w:ascii="Times New Roman" w:eastAsia="Times New Roman" w:hAnsi="Times New Roman" w:cs="Times New Roman"/>
                <w:b/>
                <w:color w:val="000000"/>
                <w:sz w:val="24"/>
                <w:szCs w:val="24"/>
                <w:lang w:val="lv-LV" w:eastAsia="lv-LV" w:bidi="lv-LV"/>
              </w:rPr>
            </w:pPr>
          </w:p>
          <w:p w:rsidR="003836D5" w:rsidRPr="00F32E50" w:rsidRDefault="003836D5" w:rsidP="006F7612">
            <w:pPr>
              <w:widowControl w:val="0"/>
              <w:spacing w:after="87" w:line="274" w:lineRule="exact"/>
              <w:ind w:right="260"/>
              <w:jc w:val="left"/>
              <w:rPr>
                <w:rFonts w:ascii="Cambria" w:eastAsia="Times New Roman" w:hAnsi="Cambria" w:cs="Times New Roman"/>
                <w:sz w:val="24"/>
                <w:szCs w:val="24"/>
                <w:lang w:val="lv-LV" w:eastAsia="en-GB"/>
              </w:rPr>
            </w:pPr>
          </w:p>
        </w:tc>
        <w:tc>
          <w:tcPr>
            <w:tcW w:w="5044" w:type="dxa"/>
          </w:tcPr>
          <w:p w:rsidR="003836D5" w:rsidRPr="003836D5" w:rsidRDefault="003836D5" w:rsidP="003836D5">
            <w:pPr>
              <w:keepNext/>
              <w:keepLines/>
              <w:ind w:firstLine="720"/>
              <w:jc w:val="both"/>
              <w:outlineLvl w:val="2"/>
              <w:rPr>
                <w:rFonts w:ascii="Times New Roman" w:hAnsi="Times New Roman"/>
                <w:sz w:val="24"/>
                <w:szCs w:val="24"/>
                <w:lang w:val="lv-LV"/>
              </w:rPr>
            </w:pPr>
            <w:r w:rsidRPr="003836D5">
              <w:rPr>
                <w:rFonts w:ascii="Times New Roman" w:hAnsi="Times New Roman"/>
                <w:sz w:val="24"/>
                <w:szCs w:val="24"/>
                <w:lang w:val="lv-LV"/>
              </w:rPr>
              <w:t>1. Apgaismojuma armatūra BOUSVAL LED STR 90CW var tikt aizstāta ar LED ielu apgaismes armatūru ar ne mazāku kalpošanas laiku, gaismas plūsmu, un gaismas plūsmas un jaudas attiecību un analoģisku izstarošanas leņķi.</w:t>
            </w:r>
          </w:p>
          <w:p w:rsidR="003836D5" w:rsidRPr="003836D5" w:rsidRDefault="003836D5" w:rsidP="003836D5">
            <w:pPr>
              <w:keepNext/>
              <w:keepLines/>
              <w:ind w:firstLine="720"/>
              <w:jc w:val="both"/>
              <w:outlineLvl w:val="2"/>
              <w:rPr>
                <w:rFonts w:ascii="Times New Roman" w:hAnsi="Times New Roman"/>
                <w:sz w:val="24"/>
                <w:szCs w:val="24"/>
                <w:lang w:val="lv-LV"/>
              </w:rPr>
            </w:pPr>
            <w:r w:rsidRPr="003836D5">
              <w:rPr>
                <w:rFonts w:ascii="Times New Roman" w:hAnsi="Times New Roman"/>
                <w:sz w:val="24"/>
                <w:szCs w:val="24"/>
                <w:lang w:val="lv-LV"/>
              </w:rPr>
              <w:t>2. Apgaismojuma armatūra 9311/150 HSE-K TRILUX 150 W/E40 projektā tika paredzēta sakarā ar to, ka šādi gaismekļi ir uzstādīti jau pārbūvētajā ielas posmā. Pretendenta piedāvātajai apgaismes armatūrai jābūt līdzvērtīgai gaismas plūsmai, izstarošanas leņķim un spektram.</w:t>
            </w:r>
            <w:r>
              <w:rPr>
                <w:rFonts w:ascii="Times New Roman" w:hAnsi="Times New Roman"/>
                <w:sz w:val="24"/>
                <w:szCs w:val="24"/>
                <w:lang w:val="lv-LV"/>
              </w:rPr>
              <w:t xml:space="preserve"> </w:t>
            </w:r>
            <w:r w:rsidRPr="003836D5">
              <w:rPr>
                <w:rFonts w:ascii="Times New Roman" w:hAnsi="Times New Roman"/>
                <w:sz w:val="24"/>
                <w:szCs w:val="24"/>
                <w:lang w:val="lv-LV"/>
              </w:rPr>
              <w:t>Piedāvātai apgaismes armatūrai jābūt maksimāli līdzīgai pēc dizaina, formas un izmēriem jau uzstādītiem gaismekļiem pārbūvētajā ielas posmā.</w:t>
            </w:r>
          </w:p>
          <w:p w:rsidR="003836D5" w:rsidRPr="003836D5" w:rsidRDefault="003836D5" w:rsidP="003836D5">
            <w:pPr>
              <w:keepNext/>
              <w:keepLines/>
              <w:ind w:firstLine="720"/>
              <w:jc w:val="both"/>
              <w:outlineLvl w:val="2"/>
              <w:rPr>
                <w:rFonts w:ascii="Times New Roman" w:hAnsi="Times New Roman"/>
                <w:sz w:val="24"/>
                <w:szCs w:val="24"/>
                <w:lang w:val="lv-LV"/>
              </w:rPr>
            </w:pPr>
            <w:r>
              <w:rPr>
                <w:rFonts w:ascii="Times New Roman" w:hAnsi="Times New Roman"/>
                <w:sz w:val="24"/>
                <w:szCs w:val="24"/>
              </w:rPr>
              <w:t xml:space="preserve">3. </w:t>
            </w:r>
            <w:r w:rsidRPr="003836D5">
              <w:rPr>
                <w:rFonts w:ascii="Times New Roman" w:hAnsi="Times New Roman"/>
                <w:sz w:val="24"/>
                <w:szCs w:val="24"/>
                <w:lang w:val="lv-LV"/>
              </w:rPr>
              <w:t>Pretendents par piedāvāto ekvivalento materiālu/iekārtu tāmēs izdara atzīmi “ekvivalents” un norāda piedāvāto materiālu/iekārtu nosaukumus.</w:t>
            </w:r>
          </w:p>
          <w:p w:rsidR="003836D5" w:rsidRPr="003836D5" w:rsidRDefault="003836D5" w:rsidP="003836D5">
            <w:pPr>
              <w:keepNext/>
              <w:keepLines/>
              <w:ind w:firstLine="720"/>
              <w:jc w:val="both"/>
              <w:outlineLvl w:val="2"/>
              <w:rPr>
                <w:rFonts w:ascii="Times New Roman" w:hAnsi="Times New Roman"/>
                <w:sz w:val="24"/>
                <w:szCs w:val="24"/>
                <w:lang w:val="lv-LV"/>
              </w:rPr>
            </w:pPr>
            <w:r w:rsidRPr="003836D5">
              <w:rPr>
                <w:rFonts w:ascii="Times New Roman" w:hAnsi="Times New Roman"/>
                <w:sz w:val="24"/>
                <w:szCs w:val="24"/>
                <w:lang w:val="lv-LV"/>
              </w:rPr>
              <w:t>4. Ņemot vērā to, ka 2017.gada 27.maijā ir stājušies spēkā Ministru kabineta noteikumi Nr.239 “Noteikumi par Latvijas būvnormatīvu LBN 501-17 "</w:t>
            </w:r>
            <w:proofErr w:type="spellStart"/>
            <w:r w:rsidRPr="003836D5">
              <w:rPr>
                <w:rFonts w:ascii="Times New Roman" w:hAnsi="Times New Roman"/>
                <w:sz w:val="24"/>
                <w:szCs w:val="24"/>
                <w:lang w:val="lv-LV"/>
              </w:rPr>
              <w:t>Būvizmaksu</w:t>
            </w:r>
            <w:proofErr w:type="spellEnd"/>
            <w:r w:rsidRPr="003836D5">
              <w:rPr>
                <w:rFonts w:ascii="Times New Roman" w:hAnsi="Times New Roman"/>
                <w:sz w:val="24"/>
                <w:szCs w:val="24"/>
                <w:lang w:val="lv-LV"/>
              </w:rPr>
              <w:t xml:space="preserve"> noteikšanas kārtība””, pretendentiem jāiesniedz tāmes, kas ir sastādītas atbilstoši Ministru kabineta noteikumu Nr. 239 “Noteikumi par Latvijas būvnormatīvu LBN 501-17 "</w:t>
            </w:r>
            <w:proofErr w:type="spellStart"/>
            <w:r w:rsidRPr="003836D5">
              <w:rPr>
                <w:rFonts w:ascii="Times New Roman" w:hAnsi="Times New Roman"/>
                <w:sz w:val="24"/>
                <w:szCs w:val="24"/>
                <w:lang w:val="lv-LV"/>
              </w:rPr>
              <w:t>Būvizmaksu</w:t>
            </w:r>
            <w:proofErr w:type="spellEnd"/>
            <w:r w:rsidRPr="003836D5">
              <w:rPr>
                <w:rFonts w:ascii="Times New Roman" w:hAnsi="Times New Roman"/>
                <w:sz w:val="24"/>
                <w:szCs w:val="24"/>
                <w:lang w:val="lv-LV"/>
              </w:rPr>
              <w:t xml:space="preserve"> noteikšanas kārtība”” formai.</w:t>
            </w:r>
          </w:p>
          <w:p w:rsidR="004572F0" w:rsidRPr="003836D5" w:rsidRDefault="004572F0" w:rsidP="004572F0">
            <w:pPr>
              <w:jc w:val="left"/>
              <w:rPr>
                <w:rFonts w:ascii="Times New Roman" w:eastAsia="Times New Roman" w:hAnsi="Times New Roman" w:cs="Times New Roman"/>
                <w:sz w:val="24"/>
                <w:szCs w:val="24"/>
                <w:lang w:eastAsia="en-GB"/>
              </w:rPr>
            </w:pPr>
          </w:p>
          <w:p w:rsidR="00B21DA7" w:rsidRPr="004572F0" w:rsidRDefault="00B21DA7" w:rsidP="004572F0">
            <w:pPr>
              <w:jc w:val="left"/>
              <w:rPr>
                <w:rFonts w:ascii="Times New Roman" w:eastAsia="Times New Roman" w:hAnsi="Times New Roman" w:cs="Times New Roman"/>
                <w:sz w:val="24"/>
                <w:szCs w:val="24"/>
                <w:lang w:val="lv-LV" w:eastAsia="en-GB"/>
              </w:rPr>
            </w:pPr>
          </w:p>
        </w:tc>
      </w:tr>
    </w:tbl>
    <w:p w:rsidR="009C04BA" w:rsidRPr="00EB3244" w:rsidRDefault="009C04BA">
      <w:pPr>
        <w:rPr>
          <w:rFonts w:ascii="Times New Roman" w:hAnsi="Times New Roman" w:cs="Times New Roman"/>
          <w:lang w:val="lv-LV"/>
        </w:rPr>
      </w:pPr>
      <w:bookmarkStart w:id="0" w:name="_GoBack"/>
      <w:bookmarkEnd w:id="0"/>
    </w:p>
    <w:sectPr w:rsidR="009C04BA" w:rsidRPr="00EB3244" w:rsidSect="006F76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6929"/>
    <w:multiLevelType w:val="hybridMultilevel"/>
    <w:tmpl w:val="2BB899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4DB0DA72">
      <w:start w:val="1"/>
      <w:numFmt w:val="lowerLetter"/>
      <w:lvlText w:val="%5."/>
      <w:lvlJc w:val="left"/>
      <w:pPr>
        <w:ind w:left="3600" w:hanging="360"/>
      </w:pPr>
      <w:rPr>
        <w:b w:val="0"/>
      </w:r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2D"/>
    <w:rsid w:val="00131F2D"/>
    <w:rsid w:val="0020289D"/>
    <w:rsid w:val="002C2A56"/>
    <w:rsid w:val="003836D5"/>
    <w:rsid w:val="004572F0"/>
    <w:rsid w:val="004B13E8"/>
    <w:rsid w:val="006D70A1"/>
    <w:rsid w:val="006F7612"/>
    <w:rsid w:val="00980B07"/>
    <w:rsid w:val="009B1C77"/>
    <w:rsid w:val="009C04BA"/>
    <w:rsid w:val="00B21DA7"/>
    <w:rsid w:val="00D4263E"/>
    <w:rsid w:val="00D468F7"/>
    <w:rsid w:val="00EB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2D"/>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F2D"/>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63E"/>
    <w:rPr>
      <w:rFonts w:ascii="Segoe UI" w:hAnsi="Segoe UI" w:cs="Segoe UI"/>
      <w:sz w:val="18"/>
      <w:szCs w:val="18"/>
      <w:lang w:val="en-GB"/>
    </w:rPr>
  </w:style>
  <w:style w:type="character" w:customStyle="1" w:styleId="Bodytext2PalatinoLinotype105ptBold">
    <w:name w:val="Body text (2) + Palatino Linotype;10;5 pt;Bold"/>
    <w:basedOn w:val="DefaultParagraphFont"/>
    <w:rsid w:val="00EB3244"/>
    <w:rPr>
      <w:rFonts w:ascii="Palatino Linotype" w:eastAsia="Palatino Linotype" w:hAnsi="Palatino Linotype" w:cs="Palatino Linotype"/>
      <w:b/>
      <w:bCs/>
      <w:i w:val="0"/>
      <w:iCs w:val="0"/>
      <w:smallCaps w:val="0"/>
      <w:strike w:val="0"/>
      <w:color w:val="000000"/>
      <w:spacing w:val="0"/>
      <w:w w:val="100"/>
      <w:position w:val="0"/>
      <w:sz w:val="21"/>
      <w:szCs w:val="21"/>
      <w:u w:val="none"/>
      <w:lang w:val="lv-LV" w:eastAsia="lv-LV" w:bidi="lv-LV"/>
    </w:rPr>
  </w:style>
  <w:style w:type="character" w:customStyle="1" w:styleId="Bodytext2PalatinoLinotype11ptSpacing0pt">
    <w:name w:val="Body text (2) + Palatino Linotype;11 pt;Spacing 0 pt"/>
    <w:basedOn w:val="DefaultParagraphFont"/>
    <w:rsid w:val="00EB3244"/>
    <w:rPr>
      <w:rFonts w:ascii="Palatino Linotype" w:eastAsia="Palatino Linotype" w:hAnsi="Palatino Linotype" w:cs="Palatino Linotype"/>
      <w:b w:val="0"/>
      <w:bCs w:val="0"/>
      <w:i w:val="0"/>
      <w:iCs w:val="0"/>
      <w:smallCaps w:val="0"/>
      <w:strike w:val="0"/>
      <w:color w:val="000000"/>
      <w:spacing w:val="10"/>
      <w:w w:val="100"/>
      <w:position w:val="0"/>
      <w:sz w:val="22"/>
      <w:szCs w:val="22"/>
      <w:u w:val="none"/>
      <w:lang w:val="lv-LV" w:eastAsia="lv-LV" w:bidi="lv-LV"/>
    </w:rPr>
  </w:style>
  <w:style w:type="character" w:customStyle="1" w:styleId="Bodytext2">
    <w:name w:val="Body text (2)_"/>
    <w:basedOn w:val="DefaultParagraphFont"/>
    <w:link w:val="Bodytext20"/>
    <w:rsid w:val="00EB324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B3244"/>
    <w:pPr>
      <w:widowControl w:val="0"/>
      <w:shd w:val="clear" w:color="auto" w:fill="FFFFFF"/>
      <w:jc w:val="left"/>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B3244"/>
    <w:pPr>
      <w:ind w:left="720"/>
      <w:contextualSpacing/>
      <w:jc w:val="left"/>
    </w:pPr>
    <w:rPr>
      <w:rFonts w:ascii="Times New Roman" w:eastAsia="Times New Roman" w:hAnsi="Times New Roman" w:cs="Times New Roman"/>
      <w:sz w:val="24"/>
      <w:szCs w:val="24"/>
      <w:lang w:val="lv-LV" w:eastAsia="lv-LV"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F2D"/>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F2D"/>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63E"/>
    <w:rPr>
      <w:rFonts w:ascii="Segoe UI" w:hAnsi="Segoe UI" w:cs="Segoe UI"/>
      <w:sz w:val="18"/>
      <w:szCs w:val="18"/>
      <w:lang w:val="en-GB"/>
    </w:rPr>
  </w:style>
  <w:style w:type="character" w:customStyle="1" w:styleId="Bodytext2PalatinoLinotype105ptBold">
    <w:name w:val="Body text (2) + Palatino Linotype;10;5 pt;Bold"/>
    <w:basedOn w:val="DefaultParagraphFont"/>
    <w:rsid w:val="00EB3244"/>
    <w:rPr>
      <w:rFonts w:ascii="Palatino Linotype" w:eastAsia="Palatino Linotype" w:hAnsi="Palatino Linotype" w:cs="Palatino Linotype"/>
      <w:b/>
      <w:bCs/>
      <w:i w:val="0"/>
      <w:iCs w:val="0"/>
      <w:smallCaps w:val="0"/>
      <w:strike w:val="0"/>
      <w:color w:val="000000"/>
      <w:spacing w:val="0"/>
      <w:w w:val="100"/>
      <w:position w:val="0"/>
      <w:sz w:val="21"/>
      <w:szCs w:val="21"/>
      <w:u w:val="none"/>
      <w:lang w:val="lv-LV" w:eastAsia="lv-LV" w:bidi="lv-LV"/>
    </w:rPr>
  </w:style>
  <w:style w:type="character" w:customStyle="1" w:styleId="Bodytext2PalatinoLinotype11ptSpacing0pt">
    <w:name w:val="Body text (2) + Palatino Linotype;11 pt;Spacing 0 pt"/>
    <w:basedOn w:val="DefaultParagraphFont"/>
    <w:rsid w:val="00EB3244"/>
    <w:rPr>
      <w:rFonts w:ascii="Palatino Linotype" w:eastAsia="Palatino Linotype" w:hAnsi="Palatino Linotype" w:cs="Palatino Linotype"/>
      <w:b w:val="0"/>
      <w:bCs w:val="0"/>
      <w:i w:val="0"/>
      <w:iCs w:val="0"/>
      <w:smallCaps w:val="0"/>
      <w:strike w:val="0"/>
      <w:color w:val="000000"/>
      <w:spacing w:val="10"/>
      <w:w w:val="100"/>
      <w:position w:val="0"/>
      <w:sz w:val="22"/>
      <w:szCs w:val="22"/>
      <w:u w:val="none"/>
      <w:lang w:val="lv-LV" w:eastAsia="lv-LV" w:bidi="lv-LV"/>
    </w:rPr>
  </w:style>
  <w:style w:type="character" w:customStyle="1" w:styleId="Bodytext2">
    <w:name w:val="Body text (2)_"/>
    <w:basedOn w:val="DefaultParagraphFont"/>
    <w:link w:val="Bodytext20"/>
    <w:rsid w:val="00EB3244"/>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B3244"/>
    <w:pPr>
      <w:widowControl w:val="0"/>
      <w:shd w:val="clear" w:color="auto" w:fill="FFFFFF"/>
      <w:jc w:val="left"/>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B3244"/>
    <w:pPr>
      <w:ind w:left="720"/>
      <w:contextualSpacing/>
      <w:jc w:val="left"/>
    </w:pPr>
    <w:rPr>
      <w:rFonts w:ascii="Times New Roman" w:eastAsia="Times New Roman" w:hAnsi="Times New Roman" w:cs="Times New Roman"/>
      <w:sz w:val="24"/>
      <w:szCs w:val="24"/>
      <w:lang w:val="lv-LV" w:eastAsia="lv-LV"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4184">
      <w:bodyDiv w:val="1"/>
      <w:marLeft w:val="0"/>
      <w:marRight w:val="0"/>
      <w:marTop w:val="0"/>
      <w:marBottom w:val="0"/>
      <w:divBdr>
        <w:top w:val="none" w:sz="0" w:space="0" w:color="auto"/>
        <w:left w:val="none" w:sz="0" w:space="0" w:color="auto"/>
        <w:bottom w:val="none" w:sz="0" w:space="0" w:color="auto"/>
        <w:right w:val="none" w:sz="0" w:space="0" w:color="auto"/>
      </w:divBdr>
    </w:div>
    <w:div w:id="12070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1384</Words>
  <Characters>789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Sašuks</cp:lastModifiedBy>
  <cp:revision>2</cp:revision>
  <cp:lastPrinted>2016-12-19T07:46:00Z</cp:lastPrinted>
  <dcterms:created xsi:type="dcterms:W3CDTF">2017-07-17T10:49:00Z</dcterms:created>
  <dcterms:modified xsi:type="dcterms:W3CDTF">2017-07-17T10:49:00Z</dcterms:modified>
</cp:coreProperties>
</file>