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7D" w:rsidRPr="0096156B" w:rsidRDefault="007B337D" w:rsidP="007B337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1C1646" w:rsidRDefault="00D91FA4" w:rsidP="007B337D">
      <w:pPr>
        <w:spacing w:after="0" w:line="276" w:lineRule="auto"/>
        <w:jc w:val="center"/>
        <w:rPr>
          <w:rStyle w:val="Strong"/>
          <w:rFonts w:ascii="Arial" w:hAnsi="Arial" w:cs="Arial"/>
          <w:color w:val="373A3C"/>
          <w:lang w:val="lv-LV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Ludzas pilsdrupu konservācijas 2.un 3.kārta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7B337D" w:rsidRPr="00A26A2D" w:rsidRDefault="007B337D" w:rsidP="007B33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7B337D" w:rsidRPr="00A26A2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D91FA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D91FA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aprīlī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7B337D" w:rsidRPr="0032132C" w:rsidRDefault="007B337D" w:rsidP="007B337D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7B337D" w:rsidRPr="0032132C" w:rsidRDefault="007B337D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7B337D" w:rsidRPr="0032132C" w:rsidRDefault="002F1C4B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</w:t>
      </w:r>
      <w:r w:rsidR="007B337D" w:rsidRPr="0032132C">
        <w:rPr>
          <w:rFonts w:ascii="Times New Roman" w:hAnsi="Times New Roman" w:cs="Times New Roman"/>
          <w:sz w:val="24"/>
          <w:szCs w:val="24"/>
          <w:lang w:val="lv-LV"/>
        </w:rPr>
        <w:t>3</w:t>
      </w:r>
    </w:p>
    <w:p w:rsidR="007B337D" w:rsidRPr="0032132C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7B337D" w:rsidRPr="00B81E3D" w:rsidRDefault="007B337D" w:rsidP="007B337D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 w:rsidR="002F1C4B">
        <w:rPr>
          <w:rFonts w:ascii="Times New Roman" w:eastAsia="Calibri" w:hAnsi="Times New Roman" w:cs="Times New Roman"/>
          <w:sz w:val="24"/>
          <w:lang w:val="lv-LV"/>
        </w:rPr>
        <w:t>8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2F1C4B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0</w:t>
      </w:r>
      <w:r w:rsidR="00D91FA4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2/ERAF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400A5D" w:rsidRDefault="007B337D" w:rsidP="002F1C4B">
      <w:pPr>
        <w:keepNext/>
        <w:tabs>
          <w:tab w:val="left" w:pos="630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D91FA4" w:rsidRPr="00D91FA4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lang w:val="lv-LV"/>
        </w:rPr>
        <w:t>Ludzas pilsdrupu konservācijas 2.un 3.kārta</w:t>
      </w:r>
    </w:p>
    <w:p w:rsidR="007B337D" w:rsidRDefault="007B337D" w:rsidP="007B337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7B337D" w:rsidRDefault="001C1646" w:rsidP="007B337D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D91FA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="007B337D"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D91FA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="007B337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7B337D" w:rsidRPr="00A26A2D" w:rsidRDefault="007B337D" w:rsidP="007B337D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16.februāris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400A5D"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7B337D" w:rsidRDefault="007B337D" w:rsidP="007B337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5"/>
        <w:gridCol w:w="2790"/>
        <w:gridCol w:w="3605"/>
      </w:tblGrid>
      <w:tr w:rsidR="00D91FA4" w:rsidRPr="00D91FA4" w:rsidTr="00785927">
        <w:trPr>
          <w:trHeight w:val="620"/>
          <w:jc w:val="center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</w:pP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</w:pP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Piedāvājuma</w:t>
            </w:r>
            <w:r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 xml:space="preserve"> </w:t>
            </w: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iesniegšanas</w:t>
            </w:r>
          </w:p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</w:pP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datums, laiks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1FA4" w:rsidRPr="00A52FC9" w:rsidRDefault="00D91FA4" w:rsidP="00785927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4"/>
                <w:szCs w:val="24"/>
                <w:lang w:val="lv-LV" w:eastAsia="zh-CN" w:bidi="hi-IN"/>
              </w:rPr>
            </w:pPr>
            <w:r w:rsidRPr="00A52FC9">
              <w:rPr>
                <w:rFonts w:ascii="Times New Roman" w:eastAsia="SimSun" w:hAnsi="Times New Roman" w:cs="Mangal"/>
                <w:b/>
                <w:i/>
                <w:kern w:val="3"/>
                <w:sz w:val="24"/>
                <w:szCs w:val="24"/>
                <w:lang w:val="lv-LV" w:eastAsia="zh-CN" w:bidi="hi-IN"/>
              </w:rPr>
              <w:t>Piedāvātā līgumcena bez PVN, EUR:</w:t>
            </w:r>
          </w:p>
        </w:tc>
      </w:tr>
      <w:tr w:rsidR="00D91FA4" w:rsidRPr="001C4C13" w:rsidTr="00785927">
        <w:trPr>
          <w:trHeight w:val="368"/>
          <w:jc w:val="center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1FA4" w:rsidRPr="004D3213" w:rsidRDefault="00D91FA4" w:rsidP="00D91FA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Warss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+</w:t>
            </w:r>
            <w:r w:rsidRPr="001C4C1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</w:pP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  <w:t>15.03.2018., plkst. 09:30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351 183,67</w:t>
            </w:r>
          </w:p>
        </w:tc>
      </w:tr>
      <w:tr w:rsidR="00D91FA4" w:rsidRPr="001C4C13" w:rsidTr="00785927">
        <w:trPr>
          <w:trHeight w:val="350"/>
          <w:jc w:val="center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1FA4" w:rsidRPr="004D3213" w:rsidRDefault="00D91FA4" w:rsidP="00D91FA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PS “A.A.&amp;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būvkompānijas</w:t>
            </w:r>
            <w:proofErr w:type="spellEnd"/>
            <w:r w:rsidRPr="001C4C1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</w:pP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  <w:t>20.03.2018., plkst. 10:20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423 626,98 </w:t>
            </w:r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 xml:space="preserve">(pēc </w:t>
            </w:r>
            <w:proofErr w:type="spellStart"/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>aritm</w:t>
            </w:r>
            <w:proofErr w:type="spellEnd"/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>. kļūdu labojuma)</w:t>
            </w:r>
          </w:p>
        </w:tc>
      </w:tr>
      <w:tr w:rsidR="00D91FA4" w:rsidRPr="001C4C13" w:rsidTr="00785927">
        <w:trPr>
          <w:trHeight w:val="278"/>
          <w:jc w:val="center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1FA4" w:rsidRPr="004D3213" w:rsidRDefault="00D91FA4" w:rsidP="00D91FA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Armostil</w:t>
            </w:r>
            <w:proofErr w:type="spellEnd"/>
            <w:r w:rsidRPr="001C4C1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</w:pP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  <w:t>20.03.2018., plkst. 10:40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Pr="001C4C13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310 075,34 </w:t>
            </w:r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 xml:space="preserve">(pēc </w:t>
            </w:r>
            <w:proofErr w:type="spellStart"/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>aritm</w:t>
            </w:r>
            <w:proofErr w:type="spellEnd"/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>. kļūdu labojuma)</w:t>
            </w:r>
          </w:p>
        </w:tc>
      </w:tr>
      <w:tr w:rsidR="00D91FA4" w:rsidRPr="001C4C13" w:rsidTr="00785927">
        <w:trPr>
          <w:trHeight w:val="125"/>
          <w:jc w:val="center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1FA4" w:rsidRPr="004D3213" w:rsidRDefault="00D91FA4" w:rsidP="00D91FA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19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Inteco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Wood</w:t>
            </w:r>
            <w:proofErr w:type="spellEnd"/>
            <w:r w:rsidRPr="004C5019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</w:pP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val="lv-LV" w:eastAsia="lv-LV" w:bidi="hi-IN"/>
              </w:rPr>
              <w:t>20.03.2018., plkst. 10:42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1FA4" w:rsidRDefault="00D91FA4" w:rsidP="00785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300 043,79 </w:t>
            </w:r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 xml:space="preserve">(pēc </w:t>
            </w:r>
            <w:proofErr w:type="spellStart"/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>aritm</w:t>
            </w:r>
            <w:proofErr w:type="spellEnd"/>
            <w:r w:rsidRPr="00A323F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>. kļūdu labojuma)</w:t>
            </w:r>
          </w:p>
        </w:tc>
      </w:tr>
    </w:tbl>
    <w:p w:rsidR="007B337D" w:rsidRPr="000B23D1" w:rsidRDefault="007B337D" w:rsidP="007B337D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7B337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2F1C4B" w:rsidRP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Ludza</w:t>
      </w:r>
      <w:r w:rsidR="002F1C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Raiņa iela 16, Mazā zāle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D91F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D91FA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martā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7B337D" w:rsidRPr="00A26A2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400A5D" w:rsidRDefault="007B337D" w:rsidP="00400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lastRenderedPageBreak/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AA78A3" w:rsidRPr="003907A1" w:rsidRDefault="00AA78A3" w:rsidP="00AA78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8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13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aprīlī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Ludzas novada pašvaldības iepirkumu komisija nolēma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atklātā konkursa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“Ludzas pilsdrupu konservācijas 2.un 3.kārta</w:t>
      </w:r>
      <w:r w:rsidRPr="003D4481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  <w:lang w:val="lv-LV"/>
        </w:rPr>
        <w:t>”</w:t>
      </w:r>
      <w:r w:rsidRPr="003D4481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lv-LV"/>
        </w:rPr>
        <w:t>,</w:t>
      </w:r>
      <w:r w:rsidRPr="003D4481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ID</w:t>
      </w:r>
      <w:r w:rsidRPr="003D4481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Nr. LNP 201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8</w:t>
      </w:r>
      <w:r w:rsidRPr="003D4481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02/ERAF, 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 </w:t>
      </w:r>
      <w:r w:rsidRPr="005C74DC">
        <w:rPr>
          <w:rFonts w:ascii="Times New Roman" w:eastAsia="Times New Roman" w:hAnsi="Times New Roman"/>
          <w:color w:val="00000A"/>
          <w:sz w:val="24"/>
          <w:szCs w:val="24"/>
          <w:lang w:val="lv-LV"/>
        </w:rPr>
        <w:t>u</w:t>
      </w:r>
      <w:r w:rsidRPr="005C74DC">
        <w:rPr>
          <w:rFonts w:ascii="Times New Roman" w:eastAsia="Calibri" w:hAnsi="Times New Roman" w:cs="Times New Roman"/>
          <w:sz w:val="24"/>
          <w:szCs w:val="24"/>
          <w:lang w:val="lv-LV"/>
        </w:rPr>
        <w:t>zvarētāju atzīt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piešķirt līguma slēgšanas tiesības pretendentam </w:t>
      </w:r>
      <w:r w:rsidRPr="003907A1">
        <w:rPr>
          <w:rFonts w:ascii="Times New Roman" w:eastAsia="Calibri" w:hAnsi="Times New Roman" w:cs="Times New Roman"/>
          <w:b/>
          <w:sz w:val="24"/>
          <w:szCs w:val="24"/>
          <w:lang w:val="lv-LV"/>
        </w:rPr>
        <w:t>SIA “</w:t>
      </w:r>
      <w:proofErr w:type="spellStart"/>
      <w:r w:rsidRPr="003907A1">
        <w:rPr>
          <w:rFonts w:ascii="Times New Roman" w:eastAsia="Calibri" w:hAnsi="Times New Roman" w:cs="Times New Roman"/>
          <w:b/>
          <w:sz w:val="24"/>
          <w:szCs w:val="24"/>
          <w:lang w:val="lv-LV"/>
        </w:rPr>
        <w:t>Inteco</w:t>
      </w:r>
      <w:proofErr w:type="spellEnd"/>
      <w:r w:rsidRPr="003907A1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3907A1">
        <w:rPr>
          <w:rFonts w:ascii="Times New Roman" w:eastAsia="Calibri" w:hAnsi="Times New Roman" w:cs="Times New Roman"/>
          <w:b/>
          <w:sz w:val="24"/>
          <w:szCs w:val="24"/>
          <w:lang w:val="lv-LV"/>
        </w:rPr>
        <w:t>Wood</w:t>
      </w:r>
      <w:proofErr w:type="spellEnd"/>
      <w:r w:rsidRPr="003907A1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”.</w:t>
      </w:r>
    </w:p>
    <w:p w:rsidR="007B337D" w:rsidRPr="00B81E3D" w:rsidRDefault="007B337D" w:rsidP="00400A5D">
      <w:pPr>
        <w:pStyle w:val="tv213"/>
        <w:spacing w:before="0" w:beforeAutospacing="0"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</w:t>
      </w:r>
      <w:bookmarkStart w:id="0" w:name="_GoBack"/>
      <w:bookmarkEnd w:id="0"/>
      <w:r w:rsidRPr="00881AC8">
        <w:rPr>
          <w:b/>
          <w:i/>
        </w:rPr>
        <w:t>dot apakšuzņēmējiem, kā arī apakšuzņēmēju nosaukumi:</w:t>
      </w:r>
      <w:r>
        <w:rPr>
          <w:b/>
          <w:i/>
        </w:rPr>
        <w:t xml:space="preserve"> </w:t>
      </w:r>
      <w:r w:rsidR="00144C80" w:rsidRPr="00144C80">
        <w:rPr>
          <w:i/>
        </w:rPr>
        <w:t>netiek piesaistīti</w:t>
      </w:r>
      <w:r w:rsidR="00144C80">
        <w:rPr>
          <w:b/>
          <w:i/>
        </w:rPr>
        <w:t>.</w:t>
      </w:r>
    </w:p>
    <w:p w:rsidR="007B337D" w:rsidRPr="008A48BE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7B337D" w:rsidRPr="00B81E3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44C80" w:rsidRPr="00B81E3D" w:rsidRDefault="007B337D" w:rsidP="0014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144C80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44C80" w:rsidRDefault="00144C80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7B337D" w:rsidRPr="00A26A2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 nav konstatēti</w:t>
      </w:r>
    </w:p>
    <w:p w:rsidR="007B337D" w:rsidRPr="005A0269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Pr="007D5AF8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2F1C4B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Ziņojumu sagatavoja:</w:t>
      </w:r>
    </w:p>
    <w:p w:rsidR="007B337D" w:rsidRPr="00BE6351" w:rsidRDefault="007B337D" w:rsidP="007B337D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</w:t>
      </w:r>
      <w:proofErr w:type="spellStart"/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2B69FF" w:rsidRPr="007B337D" w:rsidRDefault="002B69FF">
      <w:pPr>
        <w:rPr>
          <w:lang w:val="lv-LV"/>
        </w:rPr>
      </w:pPr>
    </w:p>
    <w:sectPr w:rsidR="002B69FF" w:rsidRPr="007B337D" w:rsidSect="007B337D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95A19"/>
    <w:multiLevelType w:val="hybridMultilevel"/>
    <w:tmpl w:val="4D22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E452C"/>
    <w:multiLevelType w:val="hybridMultilevel"/>
    <w:tmpl w:val="16948D90"/>
    <w:lvl w:ilvl="0" w:tplc="0B5E8588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 w15:restartNumberingAfterBreak="0">
    <w:nsid w:val="7045502C"/>
    <w:multiLevelType w:val="multilevel"/>
    <w:tmpl w:val="31A2885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53" w:hanging="540"/>
      </w:pPr>
    </w:lvl>
    <w:lvl w:ilvl="2">
      <w:start w:val="2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7D"/>
    <w:rsid w:val="00144C80"/>
    <w:rsid w:val="001C1646"/>
    <w:rsid w:val="002B69FF"/>
    <w:rsid w:val="002F1C4B"/>
    <w:rsid w:val="00400A5D"/>
    <w:rsid w:val="007B337D"/>
    <w:rsid w:val="00AA78A3"/>
    <w:rsid w:val="00D91FA4"/>
    <w:rsid w:val="00F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ADD6-5707-4B8C-9AC4-CA31DE6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C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1646"/>
    <w:rPr>
      <w:b/>
      <w:bCs/>
    </w:rPr>
  </w:style>
  <w:style w:type="paragraph" w:styleId="ListParagraph">
    <w:name w:val="List Paragraph"/>
    <w:basedOn w:val="Normal"/>
    <w:uiPriority w:val="34"/>
    <w:qFormat/>
    <w:rsid w:val="00D9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2017-08-03T05:53:00Z</cp:lastPrinted>
  <dcterms:created xsi:type="dcterms:W3CDTF">2018-04-21T08:10:00Z</dcterms:created>
  <dcterms:modified xsi:type="dcterms:W3CDTF">2018-04-21T08:10:00Z</dcterms:modified>
</cp:coreProperties>
</file>