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</w:t>
      </w:r>
      <w:r w:rsidRPr="00C76D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424F26" w:rsidRPr="00424F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Garāžas nojaukšanas projekts Stacijas iela 62, Ludzā, Ludzas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 ir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garāža</w:t>
      </w:r>
      <w:r w:rsidR="0038250F">
        <w:rPr>
          <w:rFonts w:ascii="Times New Roman" w:hAnsi="Times New Roman" w:cs="Times New Roman"/>
          <w:color w:val="000000"/>
          <w:sz w:val="24"/>
          <w:szCs w:val="24"/>
        </w:rPr>
        <w:t xml:space="preserve"> un tualete</w:t>
      </w:r>
      <w:r w:rsidR="004B6D10" w:rsidRPr="00C76D2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garāža</w:t>
      </w:r>
      <w:r w:rsidR="00C76D2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4C4036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424F26">
        <w:rPr>
          <w:rFonts w:ascii="Times New Roman" w:hAnsi="Times New Roman" w:cs="Times New Roman"/>
          <w:b/>
          <w:color w:val="000000"/>
          <w:sz w:val="24"/>
          <w:szCs w:val="24"/>
        </w:rPr>
        <w:t>01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–</w:t>
      </w:r>
      <w:r w:rsidR="00396D33" w:rsidRPr="00396D33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Nedzīvojamo ēku palīgēkas</w:t>
      </w:r>
      <w:r w:rsidR="00396D33" w:rsidRPr="00C76D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Stacijas 62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1510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eritorija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ir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izglītības iestāde, garāža un malkas šķūnītis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ēkā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 xml:space="preserve"> – garāžā</w:t>
      </w:r>
      <w:r w:rsidR="0038250F">
        <w:rPr>
          <w:rFonts w:ascii="Times New Roman" w:hAnsi="Times New Roman" w:cs="Times New Roman"/>
          <w:color w:val="000000"/>
          <w:sz w:val="24"/>
          <w:szCs w:val="24"/>
        </w:rPr>
        <w:t xml:space="preserve"> un tualetē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4036">
        <w:rPr>
          <w:rFonts w:ascii="Times New Roman" w:hAnsi="Times New Roman" w:cs="Times New Roman"/>
          <w:color w:val="000000"/>
          <w:sz w:val="24"/>
          <w:szCs w:val="24"/>
        </w:rPr>
        <w:t>darbība nenotiek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Reljefs līdzens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Nekustamais īpašums pa zemesgabala robežu 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nav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="00424F26">
        <w:rPr>
          <w:rFonts w:ascii="Times New Roman" w:hAnsi="Times New Roman" w:cs="Times New Roman"/>
          <w:sz w:val="24"/>
          <w:szCs w:val="24"/>
        </w:rPr>
        <w:t>Stacijas</w:t>
      </w:r>
      <w:r w:rsidR="00C37C46">
        <w:rPr>
          <w:rFonts w:ascii="Times New Roman" w:hAnsi="Times New Roman" w:cs="Times New Roman"/>
          <w:sz w:val="24"/>
          <w:szCs w:val="24"/>
        </w:rPr>
        <w:t xml:space="preserve"> ielas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424F26">
        <w:rPr>
          <w:rFonts w:ascii="Times New Roman" w:hAnsi="Times New Roman" w:cs="Times New Roman"/>
          <w:color w:val="000000"/>
          <w:sz w:val="24"/>
          <w:szCs w:val="24"/>
        </w:rPr>
        <w:t>2.7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1. Demontēt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 xml:space="preserve">dzelzsbetona </w:t>
      </w:r>
      <w:r w:rsidR="0038250F">
        <w:rPr>
          <w:rFonts w:ascii="Times New Roman" w:hAnsi="Times New Roman" w:cs="Times New Roman"/>
          <w:color w:val="000000"/>
          <w:sz w:val="24"/>
          <w:szCs w:val="24"/>
        </w:rPr>
        <w:t>un koka</w:t>
      </w:r>
      <w:proofErr w:type="gramStart"/>
      <w:r w:rsidR="003825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71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proofErr w:type="gramEnd"/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</w:t>
      </w:r>
      <w:r w:rsidR="00AB7EB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7C46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laukums. Pagaidu ēkas un būves”;</w:t>
      </w:r>
    </w:p>
    <w:p w:rsidR="004B6D10" w:rsidRPr="00402180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norobežot būvdarbu teritoriju, lai nodrošinātu nepiederošu personu iekļūšanu tajā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griezējus, laužņus, u.c.) vai izmantojot speciāli ar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brīv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laukum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AC25DD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5DD">
        <w:rPr>
          <w:rFonts w:ascii="Times New Roman" w:hAnsi="Times New Roman" w:cs="Times New Roman"/>
          <w:sz w:val="24"/>
          <w:szCs w:val="24"/>
        </w:rPr>
        <w:t xml:space="preserve">Par </w:t>
      </w:r>
      <w:r w:rsidR="00D03BAF" w:rsidRPr="00AC25DD">
        <w:rPr>
          <w:rFonts w:ascii="Times New Roman" w:hAnsi="Times New Roman" w:cs="Times New Roman"/>
          <w:sz w:val="24"/>
          <w:szCs w:val="24"/>
        </w:rPr>
        <w:t xml:space="preserve">videi kaitīgo </w:t>
      </w:r>
      <w:r w:rsidRPr="00AC25DD">
        <w:rPr>
          <w:rFonts w:ascii="Times New Roman" w:hAnsi="Times New Roman" w:cs="Times New Roman"/>
          <w:sz w:val="24"/>
          <w:szCs w:val="24"/>
        </w:rPr>
        <w:t xml:space="preserve">demontēto konstrukciju utilizāciju </w:t>
      </w:r>
      <w:r w:rsidR="003C0B51" w:rsidRPr="00AC25DD">
        <w:rPr>
          <w:rFonts w:ascii="Times New Roman" w:hAnsi="Times New Roman" w:cs="Times New Roman"/>
          <w:sz w:val="24"/>
          <w:szCs w:val="24"/>
        </w:rPr>
        <w:t>izpildītājs</w:t>
      </w:r>
      <w:r w:rsidRPr="00AC25DD">
        <w:rPr>
          <w:rFonts w:ascii="Times New Roman" w:hAnsi="Times New Roman" w:cs="Times New Roman"/>
          <w:sz w:val="24"/>
          <w:szCs w:val="24"/>
        </w:rPr>
        <w:t xml:space="preserve"> noslēdz līgumu ar licencētu</w:t>
      </w:r>
      <w:r w:rsidR="000B6B9A" w:rsidRPr="00AC25DD">
        <w:rPr>
          <w:rFonts w:ascii="Times New Roman" w:hAnsi="Times New Roman" w:cs="Times New Roman"/>
          <w:sz w:val="24"/>
          <w:szCs w:val="24"/>
        </w:rPr>
        <w:t xml:space="preserve"> </w:t>
      </w:r>
      <w:r w:rsidRPr="00AC25DD">
        <w:rPr>
          <w:rFonts w:ascii="Times New Roman" w:hAnsi="Times New Roman" w:cs="Times New Roman"/>
          <w:sz w:val="24"/>
          <w:szCs w:val="24"/>
        </w:rPr>
        <w:t>celtniecības atkritumu pārstrādes uzņēmumu.</w:t>
      </w:r>
    </w:p>
    <w:p w:rsidR="004B6D10" w:rsidRPr="006A500C" w:rsidRDefault="003C0B51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Tuvākā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Būvlaukums. Pagaidu ēkas un būves.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Teritorija</w:t>
      </w:r>
      <w:r w:rsidR="003C0B5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ir </w:t>
      </w:r>
      <w:r w:rsidR="003C0B51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nepieciešams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pagaidu nožogojums.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25DD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AC25DD">
        <w:rPr>
          <w:rFonts w:ascii="Times New Roman" w:hAnsi="Times New Roman" w:cs="Times New Roman"/>
          <w:bCs/>
          <w:color w:val="000000"/>
          <w:sz w:val="24"/>
          <w:szCs w:val="24"/>
        </w:rPr>
        <w:t>sadzīves telpas,</w:t>
      </w:r>
      <w:r w:rsidRPr="00AC2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C25D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0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aprīkojumu. Tie jāparedz katram apakšuzņēmējam atsevišķi 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jābūt nodrošinātai iespējai paēst un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AC25DD">
        <w:rPr>
          <w:rFonts w:ascii="Times New Roman" w:hAnsi="Times New Roman" w:cs="Times New Roman"/>
          <w:color w:val="000000"/>
          <w:sz w:val="24"/>
          <w:szCs w:val="24"/>
        </w:rPr>
        <w:t>T.Vasiļjeva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ED14D6">
      <w:headerReference w:type="default" r:id="rId7"/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08A" w:rsidRDefault="006C508A" w:rsidP="004B6D10">
      <w:pPr>
        <w:spacing w:after="0" w:line="240" w:lineRule="auto"/>
      </w:pPr>
      <w:r>
        <w:separator/>
      </w:r>
    </w:p>
  </w:endnote>
  <w:endnote w:type="continuationSeparator" w:id="0">
    <w:p w:rsidR="006C508A" w:rsidRDefault="006C508A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08A" w:rsidRDefault="006C508A" w:rsidP="004B6D10">
      <w:pPr>
        <w:spacing w:after="0" w:line="240" w:lineRule="auto"/>
      </w:pPr>
      <w:r>
        <w:separator/>
      </w:r>
    </w:p>
  </w:footnote>
  <w:footnote w:type="continuationSeparator" w:id="0">
    <w:p w:rsidR="006C508A" w:rsidRDefault="006C508A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D10" w:rsidRDefault="00AC25DD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Garāžas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nojaukšana.</w:t>
    </w:r>
  </w:p>
  <w:p w:rsidR="004B6D10" w:rsidRDefault="00AC25DD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Stacijas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iela 1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01B5A"/>
    <w:rsid w:val="00117925"/>
    <w:rsid w:val="00127213"/>
    <w:rsid w:val="00192732"/>
    <w:rsid w:val="001F2830"/>
    <w:rsid w:val="001F5166"/>
    <w:rsid w:val="001F7E65"/>
    <w:rsid w:val="0020588F"/>
    <w:rsid w:val="00210228"/>
    <w:rsid w:val="00233415"/>
    <w:rsid w:val="00241ECB"/>
    <w:rsid w:val="002A0FA9"/>
    <w:rsid w:val="002C605F"/>
    <w:rsid w:val="002E123B"/>
    <w:rsid w:val="002E7884"/>
    <w:rsid w:val="00337557"/>
    <w:rsid w:val="00352C2F"/>
    <w:rsid w:val="00380265"/>
    <w:rsid w:val="0038250F"/>
    <w:rsid w:val="00395931"/>
    <w:rsid w:val="00396D33"/>
    <w:rsid w:val="003C0B51"/>
    <w:rsid w:val="003C165A"/>
    <w:rsid w:val="003D1BE0"/>
    <w:rsid w:val="00402180"/>
    <w:rsid w:val="00424F26"/>
    <w:rsid w:val="0046653D"/>
    <w:rsid w:val="004B572D"/>
    <w:rsid w:val="004B6D10"/>
    <w:rsid w:val="004C4036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83213"/>
    <w:rsid w:val="006A3AA1"/>
    <w:rsid w:val="006A500C"/>
    <w:rsid w:val="006C35FF"/>
    <w:rsid w:val="006C508A"/>
    <w:rsid w:val="006D12D0"/>
    <w:rsid w:val="007105C5"/>
    <w:rsid w:val="00712D45"/>
    <w:rsid w:val="00763810"/>
    <w:rsid w:val="00767165"/>
    <w:rsid w:val="007A1BF9"/>
    <w:rsid w:val="007A1F72"/>
    <w:rsid w:val="007B0A88"/>
    <w:rsid w:val="007C33C6"/>
    <w:rsid w:val="008564A6"/>
    <w:rsid w:val="00864A1C"/>
    <w:rsid w:val="00867C03"/>
    <w:rsid w:val="008A7125"/>
    <w:rsid w:val="008E14AF"/>
    <w:rsid w:val="008E7903"/>
    <w:rsid w:val="00902335"/>
    <w:rsid w:val="009367D5"/>
    <w:rsid w:val="00947BAD"/>
    <w:rsid w:val="009A151C"/>
    <w:rsid w:val="009B04A8"/>
    <w:rsid w:val="00A02B52"/>
    <w:rsid w:val="00A100B1"/>
    <w:rsid w:val="00A419ED"/>
    <w:rsid w:val="00A8705B"/>
    <w:rsid w:val="00A87FED"/>
    <w:rsid w:val="00A95BB9"/>
    <w:rsid w:val="00AB7EBB"/>
    <w:rsid w:val="00AC004A"/>
    <w:rsid w:val="00AC25DD"/>
    <w:rsid w:val="00B5487A"/>
    <w:rsid w:val="00B73614"/>
    <w:rsid w:val="00BF3725"/>
    <w:rsid w:val="00C37C46"/>
    <w:rsid w:val="00C50B00"/>
    <w:rsid w:val="00C76D20"/>
    <w:rsid w:val="00CA5128"/>
    <w:rsid w:val="00CD2CC1"/>
    <w:rsid w:val="00CD7DA0"/>
    <w:rsid w:val="00D03BAF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FB"/>
    <w:rsid w:val="00E72693"/>
    <w:rsid w:val="00E733CE"/>
    <w:rsid w:val="00E74F17"/>
    <w:rsid w:val="00E75F23"/>
    <w:rsid w:val="00E93591"/>
    <w:rsid w:val="00ED14D6"/>
    <w:rsid w:val="00EE0751"/>
    <w:rsid w:val="00EE4AD2"/>
    <w:rsid w:val="00F67C34"/>
    <w:rsid w:val="00F96D83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79FB1-17EF-4AE1-A6A4-76D2940B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2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7</Pages>
  <Words>10111</Words>
  <Characters>5764</Characters>
  <Application>Microsoft Office Word</Application>
  <DocSecurity>0</DocSecurity>
  <Lines>48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marite</cp:lastModifiedBy>
  <cp:revision>70</cp:revision>
  <cp:lastPrinted>2019-03-08T06:52:00Z</cp:lastPrinted>
  <dcterms:created xsi:type="dcterms:W3CDTF">2016-08-18T12:51:00Z</dcterms:created>
  <dcterms:modified xsi:type="dcterms:W3CDTF">2019-04-10T11:23:00Z</dcterms:modified>
</cp:coreProperties>
</file>